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6" w:beforeLines="50" w:after="156" w:afterLines="50" w:line="360" w:lineRule="auto"/>
        <w:jc w:val="center"/>
        <w:rPr>
          <w:rFonts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kern w:val="0"/>
          <w:sz w:val="32"/>
          <w:szCs w:val="32"/>
        </w:rPr>
        <w:t>北京林业大学工学院研究生学术成果评定细则</w:t>
      </w:r>
    </w:p>
    <w:p>
      <w:pPr>
        <w:widowControl/>
        <w:snapToGrid w:val="0"/>
        <w:spacing w:before="156" w:beforeLines="50" w:after="156" w:afterLines="50" w:line="360" w:lineRule="auto"/>
        <w:jc w:val="center"/>
        <w:rPr>
          <w:rFonts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kern w:val="0"/>
          <w:sz w:val="32"/>
          <w:szCs w:val="32"/>
        </w:rPr>
        <w:t>2021年12月修订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为</w:t>
      </w:r>
      <w:r>
        <w:rPr>
          <w:rFonts w:ascii="仿宋" w:hAnsi="仿宋" w:eastAsia="仿宋"/>
          <w:kern w:val="0"/>
          <w:sz w:val="28"/>
          <w:szCs w:val="28"/>
        </w:rPr>
        <w:t>进一步提高</w:t>
      </w:r>
      <w:r>
        <w:rPr>
          <w:rFonts w:hint="eastAsia" w:ascii="仿宋" w:hAnsi="仿宋" w:eastAsia="仿宋"/>
          <w:kern w:val="0"/>
          <w:sz w:val="28"/>
          <w:szCs w:val="28"/>
        </w:rPr>
        <w:t>我院</w:t>
      </w:r>
      <w:r>
        <w:rPr>
          <w:rFonts w:ascii="仿宋" w:hAnsi="仿宋" w:eastAsia="仿宋"/>
          <w:kern w:val="0"/>
          <w:sz w:val="28"/>
          <w:szCs w:val="28"/>
        </w:rPr>
        <w:t>研究生</w:t>
      </w:r>
      <w:r>
        <w:rPr>
          <w:rFonts w:hint="eastAsia" w:ascii="仿宋" w:hAnsi="仿宋" w:eastAsia="仿宋"/>
          <w:kern w:val="0"/>
          <w:sz w:val="28"/>
          <w:szCs w:val="28"/>
        </w:rPr>
        <w:t>科研学术</w:t>
      </w:r>
      <w:r>
        <w:rPr>
          <w:rFonts w:ascii="仿宋" w:hAnsi="仿宋" w:eastAsia="仿宋"/>
          <w:kern w:val="0"/>
          <w:sz w:val="28"/>
          <w:szCs w:val="28"/>
        </w:rPr>
        <w:t>能力，</w:t>
      </w:r>
      <w:r>
        <w:rPr>
          <w:rFonts w:hint="eastAsia" w:ascii="仿宋" w:hAnsi="仿宋" w:eastAsia="仿宋"/>
          <w:kern w:val="0"/>
          <w:sz w:val="28"/>
          <w:szCs w:val="28"/>
        </w:rPr>
        <w:t>量化</w:t>
      </w:r>
      <w:r>
        <w:rPr>
          <w:rFonts w:ascii="仿宋" w:hAnsi="仿宋" w:eastAsia="仿宋"/>
          <w:kern w:val="0"/>
          <w:sz w:val="28"/>
          <w:szCs w:val="28"/>
        </w:rPr>
        <w:t>研究</w:t>
      </w:r>
      <w:r>
        <w:rPr>
          <w:rFonts w:hint="eastAsia" w:ascii="仿宋" w:hAnsi="仿宋" w:eastAsia="仿宋"/>
          <w:kern w:val="0"/>
          <w:sz w:val="28"/>
          <w:szCs w:val="28"/>
        </w:rPr>
        <w:t>成果，为</w:t>
      </w:r>
      <w:r>
        <w:rPr>
          <w:rFonts w:ascii="仿宋" w:hAnsi="仿宋" w:eastAsia="仿宋"/>
          <w:kern w:val="0"/>
          <w:sz w:val="28"/>
          <w:szCs w:val="28"/>
        </w:rPr>
        <w:t>评优工作提供支撑依据，</w:t>
      </w:r>
      <w:r>
        <w:rPr>
          <w:rFonts w:hint="eastAsia" w:ascii="仿宋" w:hAnsi="仿宋" w:eastAsia="仿宋"/>
          <w:kern w:val="0"/>
          <w:sz w:val="28"/>
          <w:szCs w:val="28"/>
        </w:rPr>
        <w:t>特制订</w:t>
      </w:r>
      <w:r>
        <w:rPr>
          <w:rFonts w:ascii="仿宋" w:hAnsi="仿宋" w:eastAsia="仿宋"/>
          <w:kern w:val="0"/>
          <w:sz w:val="28"/>
          <w:szCs w:val="28"/>
        </w:rPr>
        <w:t>本细则。</w:t>
      </w:r>
      <w:r>
        <w:rPr>
          <w:rFonts w:hint="eastAsia" w:ascii="仿宋" w:hAnsi="仿宋" w:eastAsia="仿宋"/>
          <w:kern w:val="0"/>
          <w:sz w:val="28"/>
          <w:szCs w:val="28"/>
        </w:rPr>
        <w:t>研究生学术成果</w:t>
      </w:r>
      <w:r>
        <w:rPr>
          <w:rFonts w:ascii="仿宋" w:hAnsi="仿宋" w:eastAsia="仿宋"/>
          <w:kern w:val="0"/>
          <w:sz w:val="28"/>
          <w:szCs w:val="28"/>
        </w:rPr>
        <w:t>评价分为</w:t>
      </w:r>
      <w:r>
        <w:rPr>
          <w:rFonts w:hint="eastAsia" w:ascii="仿宋" w:hAnsi="仿宋" w:eastAsia="仿宋"/>
          <w:kern w:val="0"/>
          <w:sz w:val="28"/>
          <w:szCs w:val="28"/>
        </w:rPr>
        <w:t>论文</w:t>
      </w:r>
      <w:r>
        <w:rPr>
          <w:rFonts w:ascii="仿宋" w:hAnsi="仿宋" w:eastAsia="仿宋"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kern w:val="0"/>
          <w:sz w:val="28"/>
          <w:szCs w:val="28"/>
        </w:rPr>
        <w:t>知识</w:t>
      </w:r>
      <w:r>
        <w:rPr>
          <w:rFonts w:ascii="仿宋" w:hAnsi="仿宋" w:eastAsia="仿宋"/>
          <w:kern w:val="0"/>
          <w:sz w:val="28"/>
          <w:szCs w:val="28"/>
        </w:rPr>
        <w:t>产权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ascii="仿宋" w:hAnsi="仿宋" w:eastAsia="仿宋"/>
          <w:kern w:val="0"/>
          <w:sz w:val="28"/>
          <w:szCs w:val="28"/>
        </w:rPr>
        <w:t>科技竞赛及奖励</w:t>
      </w:r>
      <w:r>
        <w:rPr>
          <w:rFonts w:hint="eastAsia" w:ascii="仿宋" w:hAnsi="仿宋" w:eastAsia="仿宋"/>
          <w:kern w:val="0"/>
          <w:sz w:val="28"/>
          <w:szCs w:val="28"/>
        </w:rPr>
        <w:t>等</w:t>
      </w:r>
      <w:r>
        <w:rPr>
          <w:rFonts w:ascii="仿宋" w:hAnsi="仿宋" w:eastAsia="仿宋"/>
          <w:kern w:val="0"/>
          <w:sz w:val="28"/>
          <w:szCs w:val="28"/>
        </w:rPr>
        <w:t>三方面，</w:t>
      </w:r>
      <w:r>
        <w:rPr>
          <w:rFonts w:hint="eastAsia" w:ascii="仿宋" w:hAnsi="仿宋" w:eastAsia="仿宋"/>
          <w:kern w:val="0"/>
          <w:sz w:val="28"/>
          <w:szCs w:val="28"/>
        </w:rPr>
        <w:t>不设</w:t>
      </w:r>
      <w:r>
        <w:rPr>
          <w:rFonts w:ascii="仿宋" w:hAnsi="仿宋" w:eastAsia="仿宋"/>
          <w:kern w:val="0"/>
          <w:sz w:val="28"/>
          <w:szCs w:val="28"/>
        </w:rPr>
        <w:t>基础分，累及得分不设上限。</w:t>
      </w:r>
    </w:p>
    <w:p>
      <w:pPr>
        <w:widowControl/>
        <w:snapToGrid w:val="0"/>
        <w:spacing w:before="156" w:beforeLines="50" w:line="360" w:lineRule="auto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一</w:t>
      </w:r>
      <w:r>
        <w:rPr>
          <w:rFonts w:ascii="仿宋" w:hAnsi="仿宋" w:eastAsia="仿宋"/>
          <w:b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b/>
          <w:kern w:val="0"/>
          <w:sz w:val="28"/>
          <w:szCs w:val="28"/>
        </w:rPr>
        <w:t>在读博士/硕士研究生期间发表的学术论文加分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ascii="仿宋" w:hAnsi="仿宋" w:eastAsia="仿宋"/>
          <w:color w:val="FF0000"/>
          <w:kern w:val="0"/>
          <w:sz w:val="28"/>
          <w:szCs w:val="28"/>
        </w:rPr>
        <w:t>以第一作者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且导师为通讯作者，或</w:t>
      </w:r>
      <w:r>
        <w:rPr>
          <w:rFonts w:ascii="仿宋" w:hAnsi="仿宋" w:eastAsia="仿宋"/>
          <w:color w:val="FF0000"/>
          <w:kern w:val="0"/>
          <w:sz w:val="28"/>
          <w:szCs w:val="28"/>
        </w:rPr>
        <w:t>以第二作者且导师为第一作者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，</w:t>
      </w:r>
      <w:r>
        <w:rPr>
          <w:rFonts w:ascii="仿宋" w:hAnsi="仿宋" w:eastAsia="仿宋"/>
          <w:kern w:val="0"/>
          <w:sz w:val="28"/>
          <w:szCs w:val="28"/>
        </w:rPr>
        <w:t>发表在SCI等检索学术期刊上的学术论文</w:t>
      </w:r>
      <w:r>
        <w:rPr>
          <w:rFonts w:hint="eastAsia" w:ascii="仿宋" w:hAnsi="仿宋" w:eastAsia="仿宋"/>
          <w:kern w:val="0"/>
          <w:sz w:val="28"/>
          <w:szCs w:val="28"/>
        </w:rPr>
        <w:t>，按照公式1（如下）进行记分。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公式1：A=20+（B-1）*10。（其中A为学术论文评级得分，B为影响因子）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如：发表一篇影响因子为2.0的SCI文章，A=20+（2-1）*10=30，记分30分。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ascii="仿宋" w:hAnsi="仿宋" w:eastAsia="仿宋"/>
          <w:color w:val="FF0000"/>
          <w:kern w:val="0"/>
          <w:sz w:val="28"/>
          <w:szCs w:val="28"/>
        </w:rPr>
        <w:t>以第一作者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且导师为通讯作者，或</w:t>
      </w:r>
      <w:r>
        <w:rPr>
          <w:rFonts w:ascii="仿宋" w:hAnsi="仿宋" w:eastAsia="仿宋"/>
          <w:color w:val="FF0000"/>
          <w:kern w:val="0"/>
          <w:sz w:val="28"/>
          <w:szCs w:val="28"/>
        </w:rPr>
        <w:t>以第二作者且导师为第一作者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，</w:t>
      </w:r>
      <w:r>
        <w:rPr>
          <w:rFonts w:ascii="仿宋" w:hAnsi="仿宋" w:eastAsia="仿宋"/>
          <w:kern w:val="0"/>
          <w:sz w:val="28"/>
          <w:szCs w:val="28"/>
        </w:rPr>
        <w:t>发表</w:t>
      </w:r>
      <w:r>
        <w:rPr>
          <w:rFonts w:hint="eastAsia" w:ascii="仿宋" w:hAnsi="仿宋" w:eastAsia="仿宋"/>
          <w:kern w:val="0"/>
          <w:sz w:val="28"/>
          <w:szCs w:val="28"/>
        </w:rPr>
        <w:t>被</w:t>
      </w:r>
      <w:r>
        <w:rPr>
          <w:rFonts w:ascii="仿宋" w:hAnsi="仿宋" w:eastAsia="仿宋"/>
          <w:kern w:val="0"/>
          <w:sz w:val="28"/>
          <w:szCs w:val="28"/>
        </w:rPr>
        <w:t>SCI</w:t>
      </w:r>
      <w:r>
        <w:rPr>
          <w:rFonts w:hint="eastAsia" w:ascii="仿宋" w:hAnsi="仿宋" w:eastAsia="仿宋"/>
          <w:kern w:val="0"/>
          <w:sz w:val="28"/>
          <w:szCs w:val="28"/>
        </w:rPr>
        <w:t>（影响因子＜1.0﹚或EI</w:t>
      </w:r>
      <w:r>
        <w:rPr>
          <w:rFonts w:ascii="仿宋" w:hAnsi="仿宋" w:eastAsia="仿宋"/>
          <w:kern w:val="0"/>
          <w:sz w:val="28"/>
          <w:szCs w:val="28"/>
        </w:rPr>
        <w:t>检索</w:t>
      </w:r>
      <w:r>
        <w:rPr>
          <w:rFonts w:hint="eastAsia" w:ascii="仿宋" w:hAnsi="仿宋" w:eastAsia="仿宋"/>
          <w:kern w:val="0"/>
          <w:sz w:val="28"/>
          <w:szCs w:val="28"/>
        </w:rPr>
        <w:t>（必须为JA类型的</w:t>
      </w:r>
      <w:r>
        <w:rPr>
          <w:rFonts w:ascii="仿宋" w:hAnsi="仿宋" w:eastAsia="仿宋"/>
          <w:kern w:val="0"/>
          <w:sz w:val="28"/>
          <w:szCs w:val="28"/>
        </w:rPr>
        <w:t>学术期刊</w:t>
      </w:r>
      <w:r>
        <w:rPr>
          <w:rFonts w:hint="eastAsia" w:ascii="仿宋" w:hAnsi="仿宋" w:eastAsia="仿宋"/>
          <w:kern w:val="0"/>
          <w:sz w:val="28"/>
          <w:szCs w:val="28"/>
        </w:rPr>
        <w:t>）</w:t>
      </w:r>
      <w:r>
        <w:rPr>
          <w:rFonts w:ascii="仿宋" w:hAnsi="仿宋" w:eastAsia="仿宋"/>
          <w:kern w:val="0"/>
          <w:sz w:val="28"/>
          <w:szCs w:val="28"/>
        </w:rPr>
        <w:t>的学术论文，每篇记</w:t>
      </w:r>
      <w:r>
        <w:rPr>
          <w:rFonts w:hint="eastAsia" w:ascii="仿宋" w:hAnsi="仿宋" w:eastAsia="仿宋"/>
          <w:kern w:val="0"/>
          <w:sz w:val="28"/>
          <w:szCs w:val="28"/>
        </w:rPr>
        <w:t>2</w:t>
      </w:r>
      <w:r>
        <w:rPr>
          <w:rFonts w:ascii="仿宋" w:hAnsi="仿宋" w:eastAsia="仿宋"/>
          <w:kern w:val="0"/>
          <w:sz w:val="28"/>
          <w:szCs w:val="28"/>
        </w:rPr>
        <w:t>0分；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3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ascii="仿宋" w:hAnsi="仿宋" w:eastAsia="仿宋"/>
          <w:kern w:val="0"/>
          <w:sz w:val="28"/>
          <w:szCs w:val="28"/>
        </w:rPr>
        <w:t>以第一作者</w:t>
      </w:r>
      <w:r>
        <w:rPr>
          <w:rFonts w:hint="eastAsia" w:ascii="仿宋" w:hAnsi="仿宋" w:eastAsia="仿宋"/>
          <w:kern w:val="0"/>
          <w:sz w:val="28"/>
          <w:szCs w:val="28"/>
        </w:rPr>
        <w:t>且导师为通讯作者，或</w:t>
      </w:r>
      <w:r>
        <w:rPr>
          <w:rFonts w:ascii="仿宋" w:hAnsi="仿宋" w:eastAsia="仿宋"/>
          <w:kern w:val="0"/>
          <w:sz w:val="28"/>
          <w:szCs w:val="28"/>
        </w:rPr>
        <w:t>以第二作者且导师为第一作者</w:t>
      </w:r>
      <w:r>
        <w:rPr>
          <w:rFonts w:hint="eastAsia" w:ascii="仿宋" w:hAnsi="仿宋" w:eastAsia="仿宋"/>
          <w:kern w:val="0"/>
          <w:sz w:val="28"/>
          <w:szCs w:val="28"/>
        </w:rPr>
        <w:t>，</w:t>
      </w:r>
      <w:r>
        <w:rPr>
          <w:rFonts w:ascii="仿宋" w:hAnsi="仿宋" w:eastAsia="仿宋"/>
          <w:kern w:val="0"/>
          <w:sz w:val="28"/>
          <w:szCs w:val="28"/>
        </w:rPr>
        <w:t>发表在</w:t>
      </w:r>
      <w:r>
        <w:rPr>
          <w:rFonts w:hint="eastAsia" w:ascii="仿宋" w:hAnsi="仿宋" w:eastAsia="仿宋"/>
          <w:kern w:val="0"/>
          <w:sz w:val="28"/>
          <w:szCs w:val="28"/>
        </w:rPr>
        <w:t>CSCD核心库（C库）</w:t>
      </w:r>
      <w:r>
        <w:rPr>
          <w:rFonts w:ascii="仿宋" w:hAnsi="仿宋" w:eastAsia="仿宋"/>
          <w:kern w:val="0"/>
          <w:sz w:val="28"/>
          <w:szCs w:val="28"/>
        </w:rPr>
        <w:t>的学术论文，每篇记</w:t>
      </w:r>
      <w:r>
        <w:rPr>
          <w:rFonts w:hint="eastAsia" w:ascii="仿宋" w:hAnsi="仿宋" w:eastAsia="仿宋"/>
          <w:kern w:val="0"/>
          <w:sz w:val="28"/>
          <w:szCs w:val="28"/>
        </w:rPr>
        <w:t>15</w:t>
      </w:r>
      <w:r>
        <w:rPr>
          <w:rFonts w:ascii="仿宋" w:hAnsi="仿宋" w:eastAsia="仿宋"/>
          <w:kern w:val="0"/>
          <w:sz w:val="28"/>
          <w:szCs w:val="28"/>
        </w:rPr>
        <w:t>分</w:t>
      </w:r>
      <w:r>
        <w:rPr>
          <w:rFonts w:hint="eastAsia" w:ascii="仿宋" w:hAnsi="仿宋" w:eastAsia="仿宋"/>
          <w:kern w:val="0"/>
          <w:sz w:val="28"/>
          <w:szCs w:val="28"/>
        </w:rPr>
        <w:t>,</w:t>
      </w:r>
      <w:r>
        <w:rPr>
          <w:rFonts w:ascii="仿宋" w:hAnsi="仿宋" w:eastAsia="仿宋"/>
          <w:kern w:val="0"/>
          <w:sz w:val="28"/>
          <w:szCs w:val="28"/>
        </w:rPr>
        <w:t>发表在CSCD</w:t>
      </w:r>
      <w:r>
        <w:rPr>
          <w:rFonts w:hint="eastAsia" w:ascii="仿宋" w:hAnsi="仿宋" w:eastAsia="仿宋"/>
          <w:kern w:val="0"/>
          <w:sz w:val="28"/>
          <w:szCs w:val="28"/>
        </w:rPr>
        <w:t>扩展库（E库）</w:t>
      </w:r>
      <w:r>
        <w:rPr>
          <w:rFonts w:ascii="仿宋" w:hAnsi="仿宋" w:eastAsia="仿宋"/>
          <w:kern w:val="0"/>
          <w:sz w:val="28"/>
          <w:szCs w:val="28"/>
        </w:rPr>
        <w:t>的学术论文，每篇记10分</w:t>
      </w:r>
      <w:r>
        <w:rPr>
          <w:rFonts w:hint="eastAsia" w:ascii="仿宋" w:hAnsi="仿宋" w:eastAsia="仿宋"/>
          <w:kern w:val="0"/>
          <w:sz w:val="28"/>
          <w:szCs w:val="28"/>
        </w:rPr>
        <w:t>;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4</w:t>
      </w:r>
      <w:r>
        <w:rPr>
          <w:rFonts w:hint="eastAsia" w:ascii="仿宋" w:hAnsi="仿宋" w:eastAsia="仿宋"/>
          <w:kern w:val="0"/>
          <w:sz w:val="28"/>
          <w:szCs w:val="28"/>
        </w:rPr>
        <w:t>、同一成果同时被多次索引、评奖的只按最高分值计分。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5、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导师可包含副导师，且只可有一人，必须经过学院研究生培养办公室认定。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/>
          <w:kern w:val="0"/>
          <w:sz w:val="28"/>
          <w:szCs w:val="28"/>
          <w:highlight w:val="yellow"/>
        </w:rPr>
        <w:t>6、论文须纸质见刊或online。其中SCI须在科睿唯安论文库检索到且以检索到的出版时间为准，EI须在美国工程索引论文库检索到且以检索到的出版时间为准。一篇论文同时被多个检索库收录只能就高算一篇论文。SCI论文类型仅限定为“Article”和“Review”、EI论文类型限定为“Journal article"。</w:t>
      </w:r>
    </w:p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yellow"/>
        </w:rPr>
        <w:t>7、毕业班研究生论文如未正式发表，提供录用证明，经导师签字确认</w:t>
      </w:r>
      <w:r>
        <w:rPr>
          <w:rFonts w:hint="eastAsia" w:ascii="仿宋" w:hAnsi="仿宋" w:eastAsia="仿宋"/>
          <w:kern w:val="0"/>
          <w:sz w:val="28"/>
          <w:szCs w:val="28"/>
          <w:highlight w:val="yellow"/>
          <w:lang w:eastAsia="zh-CN"/>
        </w:rPr>
        <w:t>即可。</w:t>
      </w:r>
    </w:p>
    <w:p>
      <w:pPr>
        <w:widowControl/>
        <w:snapToGrid w:val="0"/>
        <w:spacing w:before="156" w:beforeLines="50" w:line="360" w:lineRule="auto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二、在读博士/硕士研究生期间获得专利与著作权加分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1、所参评</w:t>
      </w:r>
      <w:bookmarkStart w:id="0" w:name="_GoBack"/>
      <w:bookmarkEnd w:id="0"/>
      <w:r>
        <w:rPr>
          <w:rFonts w:hint="eastAsia" w:ascii="仿宋" w:hAnsi="仿宋" w:eastAsia="仿宋"/>
          <w:kern w:val="0"/>
          <w:sz w:val="28"/>
          <w:szCs w:val="28"/>
        </w:rPr>
        <w:t>专利权及著作权必须为“北京林业大学”；</w:t>
      </w:r>
    </w:p>
    <w:p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color w:val="FF0000"/>
          <w:kern w:val="0"/>
          <w:sz w:val="28"/>
          <w:szCs w:val="28"/>
        </w:rPr>
        <w:t>只有参评人排名为第一或者为除导师的第一责任人给予加分</w:t>
      </w:r>
      <w:r>
        <w:rPr>
          <w:rFonts w:hint="eastAsia" w:ascii="仿宋" w:hAnsi="仿宋" w:eastAsia="仿宋"/>
          <w:kern w:val="0"/>
          <w:sz w:val="28"/>
          <w:szCs w:val="28"/>
        </w:rPr>
        <w:t>；</w:t>
      </w:r>
    </w:p>
    <w:tbl>
      <w:tblPr>
        <w:tblStyle w:val="5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4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vAlign w:val="center"/>
          </w:tcPr>
          <w:p>
            <w:pPr>
              <w:spacing w:line="360" w:lineRule="auto"/>
              <w:ind w:firstLine="281" w:firstLineChars="1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专利类别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得分值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发明专利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yellow"/>
              </w:rPr>
              <w:t>实用新型专利</w:t>
            </w:r>
          </w:p>
        </w:tc>
        <w:tc>
          <w:tcPr>
            <w:tcW w:w="4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yellow"/>
              </w:rPr>
              <w:t>每项2分，6分封顶</w:t>
            </w:r>
          </w:p>
        </w:tc>
      </w:tr>
    </w:tbl>
    <w:p>
      <w:pPr>
        <w:widowControl/>
        <w:snapToGrid w:val="0"/>
        <w:spacing w:before="156" w:beforeLines="50" w:line="360" w:lineRule="auto"/>
        <w:ind w:firstLine="560" w:firstLineChars="200"/>
        <w:jc w:val="left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此处针对2021级以后的研究生，2020级研究生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软著按照原规定加分。</w:t>
      </w:r>
    </w:p>
    <w:p>
      <w:pPr>
        <w:widowControl/>
        <w:snapToGrid w:val="0"/>
        <w:spacing w:before="156" w:beforeLines="50" w:line="360" w:lineRule="auto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三、在读博士/硕士研究生期间获得科技类竞赛奖项加分</w:t>
      </w:r>
    </w:p>
    <w:tbl>
      <w:tblPr>
        <w:tblStyle w:val="5"/>
        <w:tblW w:w="7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89"/>
        <w:gridCol w:w="1667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326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奖项等级</w:t>
            </w: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326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个人</w:t>
            </w:r>
          </w:p>
        </w:tc>
        <w:tc>
          <w:tcPr>
            <w:tcW w:w="2722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若参赛者有排序则按照 50%、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30%、20%的比例，分配基准分；若参赛者无先后次序，则按人数平均基准分。</w:t>
            </w:r>
          </w:p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272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72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省部级</w:t>
            </w: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72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722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before="156" w:beforeLines="50" w:line="360" w:lineRule="auto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备注：以每年获得认定的竞赛参考名单为准。</w:t>
      </w:r>
    </w:p>
    <w:p>
      <w:pPr>
        <w:spacing w:line="360" w:lineRule="auto"/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北京林业大学工学院研究生评优委员会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28"/>
    <w:rsid w:val="00061020"/>
    <w:rsid w:val="000E3C8F"/>
    <w:rsid w:val="0020457F"/>
    <w:rsid w:val="00257F37"/>
    <w:rsid w:val="00297F26"/>
    <w:rsid w:val="002A172B"/>
    <w:rsid w:val="002D0A65"/>
    <w:rsid w:val="002E5B61"/>
    <w:rsid w:val="00383D07"/>
    <w:rsid w:val="003912C4"/>
    <w:rsid w:val="003C0F41"/>
    <w:rsid w:val="003E148C"/>
    <w:rsid w:val="004431A4"/>
    <w:rsid w:val="00481620"/>
    <w:rsid w:val="00485647"/>
    <w:rsid w:val="004A0220"/>
    <w:rsid w:val="004B2BAD"/>
    <w:rsid w:val="00525B40"/>
    <w:rsid w:val="005364A2"/>
    <w:rsid w:val="00540728"/>
    <w:rsid w:val="005E2E5A"/>
    <w:rsid w:val="005F0D72"/>
    <w:rsid w:val="005F3540"/>
    <w:rsid w:val="005F5208"/>
    <w:rsid w:val="0060619E"/>
    <w:rsid w:val="00620C0C"/>
    <w:rsid w:val="00641E02"/>
    <w:rsid w:val="006B785A"/>
    <w:rsid w:val="007013F5"/>
    <w:rsid w:val="007074B5"/>
    <w:rsid w:val="007A492A"/>
    <w:rsid w:val="008B6854"/>
    <w:rsid w:val="00970227"/>
    <w:rsid w:val="009C420E"/>
    <w:rsid w:val="009D62CD"/>
    <w:rsid w:val="00A036D9"/>
    <w:rsid w:val="00A4061F"/>
    <w:rsid w:val="00A8225A"/>
    <w:rsid w:val="00A8779D"/>
    <w:rsid w:val="00A94FA9"/>
    <w:rsid w:val="00AB25F6"/>
    <w:rsid w:val="00AE23EF"/>
    <w:rsid w:val="00B37621"/>
    <w:rsid w:val="00B3789E"/>
    <w:rsid w:val="00B4527C"/>
    <w:rsid w:val="00B65F7B"/>
    <w:rsid w:val="00BF717D"/>
    <w:rsid w:val="00C22E30"/>
    <w:rsid w:val="00C30674"/>
    <w:rsid w:val="00C4655C"/>
    <w:rsid w:val="00CD19C7"/>
    <w:rsid w:val="00CD788B"/>
    <w:rsid w:val="00D1319A"/>
    <w:rsid w:val="00D53145"/>
    <w:rsid w:val="00D967BA"/>
    <w:rsid w:val="00DA218A"/>
    <w:rsid w:val="00DA718C"/>
    <w:rsid w:val="00DD49D5"/>
    <w:rsid w:val="00DE2F05"/>
    <w:rsid w:val="00E27FA3"/>
    <w:rsid w:val="00E45285"/>
    <w:rsid w:val="00EE1001"/>
    <w:rsid w:val="00F44EB3"/>
    <w:rsid w:val="00F6694A"/>
    <w:rsid w:val="00F77337"/>
    <w:rsid w:val="00F9347A"/>
    <w:rsid w:val="00FA3D0D"/>
    <w:rsid w:val="00FD1825"/>
    <w:rsid w:val="00FE2B4C"/>
    <w:rsid w:val="0E916C7B"/>
    <w:rsid w:val="11D64538"/>
    <w:rsid w:val="14524887"/>
    <w:rsid w:val="18525771"/>
    <w:rsid w:val="199C2179"/>
    <w:rsid w:val="1BE4460B"/>
    <w:rsid w:val="1F457558"/>
    <w:rsid w:val="1F821A39"/>
    <w:rsid w:val="2DA40DF7"/>
    <w:rsid w:val="36BE5E68"/>
    <w:rsid w:val="3C8A6ABB"/>
    <w:rsid w:val="3F2A3922"/>
    <w:rsid w:val="48157179"/>
    <w:rsid w:val="4D9B3B0D"/>
    <w:rsid w:val="4DC07BDB"/>
    <w:rsid w:val="52ED1DAE"/>
    <w:rsid w:val="568F429E"/>
    <w:rsid w:val="5D4C4F25"/>
    <w:rsid w:val="5D5B1BF4"/>
    <w:rsid w:val="605A677F"/>
    <w:rsid w:val="7254055A"/>
    <w:rsid w:val="757B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151</Words>
  <Characters>866</Characters>
  <Lines>7</Lines>
  <Paragraphs>2</Paragraphs>
  <TotalTime>9</TotalTime>
  <ScaleCrop>false</ScaleCrop>
  <LinksUpToDate>false</LinksUpToDate>
  <CharactersWithSpaces>1015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2021-11-01T06:41:00Z</dcterms:created>
  <dc:creator>gongxueyuan</dc:creator>
  <cp:lastModifiedBy>823</cp:lastModifiedBy>
  <dcterms:modified xsi:type="dcterms:W3CDTF">2021-12-03T12:50:27Z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F97104B1A48442DC94FB3FA03ECEAEF8</vt:lpwstr>
  </property>
</Properties>
</file>