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56" w:beforeLines="50" w:after="156" w:afterLines="50" w:line="360" w:lineRule="auto"/>
        <w:jc w:val="center"/>
        <w:rPr>
          <w:rFonts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kern w:val="0"/>
          <w:sz w:val="32"/>
          <w:szCs w:val="32"/>
        </w:rPr>
        <w:t>北京林业大学工学院研究生学术成果评定细则</w:t>
      </w:r>
    </w:p>
    <w:p>
      <w:pPr>
        <w:widowControl/>
        <w:snapToGrid w:val="0"/>
        <w:spacing w:before="156" w:beforeLines="50" w:line="360" w:lineRule="auto"/>
        <w:ind w:firstLine="560" w:firstLineChars="200"/>
        <w:jc w:val="left"/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为</w:t>
      </w:r>
      <w:r>
        <w:rPr>
          <w:rFonts w:ascii="仿宋" w:hAnsi="仿宋" w:eastAsia="仿宋"/>
          <w:kern w:val="0"/>
          <w:sz w:val="28"/>
          <w:szCs w:val="28"/>
        </w:rPr>
        <w:t>进一步提高</w:t>
      </w:r>
      <w:r>
        <w:rPr>
          <w:rFonts w:hint="eastAsia" w:ascii="仿宋" w:hAnsi="仿宋" w:eastAsia="仿宋"/>
          <w:kern w:val="0"/>
          <w:sz w:val="28"/>
          <w:szCs w:val="28"/>
        </w:rPr>
        <w:t>我院</w:t>
      </w:r>
      <w:r>
        <w:rPr>
          <w:rFonts w:ascii="仿宋" w:hAnsi="仿宋" w:eastAsia="仿宋"/>
          <w:kern w:val="0"/>
          <w:sz w:val="28"/>
          <w:szCs w:val="28"/>
        </w:rPr>
        <w:t>研究生</w:t>
      </w:r>
      <w:r>
        <w:rPr>
          <w:rFonts w:hint="eastAsia" w:ascii="仿宋" w:hAnsi="仿宋" w:eastAsia="仿宋"/>
          <w:kern w:val="0"/>
          <w:sz w:val="28"/>
          <w:szCs w:val="28"/>
        </w:rPr>
        <w:t>科研学术</w:t>
      </w:r>
      <w:r>
        <w:rPr>
          <w:rFonts w:ascii="仿宋" w:hAnsi="仿宋" w:eastAsia="仿宋"/>
          <w:kern w:val="0"/>
          <w:sz w:val="28"/>
          <w:szCs w:val="28"/>
        </w:rPr>
        <w:t>能力，</w:t>
      </w:r>
      <w:r>
        <w:rPr>
          <w:rFonts w:hint="eastAsia" w:ascii="仿宋" w:hAnsi="仿宋" w:eastAsia="仿宋"/>
          <w:kern w:val="0"/>
          <w:sz w:val="28"/>
          <w:szCs w:val="28"/>
        </w:rPr>
        <w:t>量化</w:t>
      </w:r>
      <w:r>
        <w:rPr>
          <w:rFonts w:ascii="仿宋" w:hAnsi="仿宋" w:eastAsia="仿宋"/>
          <w:kern w:val="0"/>
          <w:sz w:val="28"/>
          <w:szCs w:val="28"/>
        </w:rPr>
        <w:t>研究</w:t>
      </w:r>
      <w:r>
        <w:rPr>
          <w:rFonts w:hint="eastAsia" w:ascii="仿宋" w:hAnsi="仿宋" w:eastAsia="仿宋"/>
          <w:kern w:val="0"/>
          <w:sz w:val="28"/>
          <w:szCs w:val="28"/>
        </w:rPr>
        <w:t>成果，为</w:t>
      </w:r>
      <w:r>
        <w:rPr>
          <w:rFonts w:ascii="仿宋" w:hAnsi="仿宋" w:eastAsia="仿宋"/>
          <w:kern w:val="0"/>
          <w:sz w:val="28"/>
          <w:szCs w:val="28"/>
        </w:rPr>
        <w:t>评优工作提供支撑依据，</w:t>
      </w:r>
      <w:r>
        <w:rPr>
          <w:rFonts w:hint="eastAsia" w:ascii="仿宋" w:hAnsi="仿宋" w:eastAsia="仿宋"/>
          <w:kern w:val="0"/>
          <w:sz w:val="28"/>
          <w:szCs w:val="28"/>
        </w:rPr>
        <w:t>特制订</w:t>
      </w:r>
      <w:r>
        <w:rPr>
          <w:rFonts w:ascii="仿宋" w:hAnsi="仿宋" w:eastAsia="仿宋"/>
          <w:kern w:val="0"/>
          <w:sz w:val="28"/>
          <w:szCs w:val="28"/>
        </w:rPr>
        <w:t>本细则。</w:t>
      </w:r>
      <w:r>
        <w:rPr>
          <w:rFonts w:hint="eastAsia" w:ascii="仿宋" w:hAnsi="仿宋" w:eastAsia="仿宋"/>
          <w:kern w:val="0"/>
          <w:sz w:val="28"/>
          <w:szCs w:val="28"/>
        </w:rPr>
        <w:t>研究生学术成果</w:t>
      </w:r>
      <w:r>
        <w:rPr>
          <w:rFonts w:ascii="仿宋" w:hAnsi="仿宋" w:eastAsia="仿宋"/>
          <w:kern w:val="0"/>
          <w:sz w:val="28"/>
          <w:szCs w:val="28"/>
        </w:rPr>
        <w:t>评价分为</w:t>
      </w:r>
      <w:r>
        <w:rPr>
          <w:rFonts w:hint="eastAsia" w:ascii="仿宋" w:hAnsi="仿宋" w:eastAsia="仿宋"/>
          <w:kern w:val="0"/>
          <w:sz w:val="28"/>
          <w:szCs w:val="28"/>
        </w:rPr>
        <w:t>论文</w:t>
      </w:r>
      <w:r>
        <w:rPr>
          <w:rFonts w:ascii="仿宋" w:hAnsi="仿宋" w:eastAsia="仿宋"/>
          <w:kern w:val="0"/>
          <w:sz w:val="28"/>
          <w:szCs w:val="28"/>
        </w:rPr>
        <w:t>、</w:t>
      </w:r>
      <w:r>
        <w:rPr>
          <w:rFonts w:hint="eastAsia" w:ascii="仿宋" w:hAnsi="仿宋" w:eastAsia="仿宋"/>
          <w:kern w:val="0"/>
          <w:sz w:val="28"/>
          <w:szCs w:val="28"/>
        </w:rPr>
        <w:t>知识</w:t>
      </w:r>
      <w:r>
        <w:rPr>
          <w:rFonts w:ascii="仿宋" w:hAnsi="仿宋" w:eastAsia="仿宋"/>
          <w:kern w:val="0"/>
          <w:sz w:val="28"/>
          <w:szCs w:val="28"/>
        </w:rPr>
        <w:t>产权</w:t>
      </w:r>
      <w:r>
        <w:rPr>
          <w:rFonts w:hint="eastAsia" w:ascii="仿宋" w:hAnsi="仿宋" w:eastAsia="仿宋"/>
          <w:kern w:val="0"/>
          <w:sz w:val="28"/>
          <w:szCs w:val="28"/>
        </w:rPr>
        <w:t>、</w:t>
      </w:r>
      <w:r>
        <w:rPr>
          <w:rFonts w:ascii="仿宋" w:hAnsi="仿宋" w:eastAsia="仿宋"/>
          <w:kern w:val="0"/>
          <w:sz w:val="28"/>
          <w:szCs w:val="28"/>
        </w:rPr>
        <w:t>科技竞赛及奖励</w:t>
      </w:r>
      <w:r>
        <w:rPr>
          <w:rFonts w:hint="eastAsia" w:ascii="仿宋" w:hAnsi="仿宋" w:eastAsia="仿宋"/>
          <w:kern w:val="0"/>
          <w:sz w:val="28"/>
          <w:szCs w:val="28"/>
        </w:rPr>
        <w:t>等</w:t>
      </w:r>
      <w:r>
        <w:rPr>
          <w:rFonts w:ascii="仿宋" w:hAnsi="仿宋" w:eastAsia="仿宋"/>
          <w:kern w:val="0"/>
          <w:sz w:val="28"/>
          <w:szCs w:val="28"/>
        </w:rPr>
        <w:t>三方面，</w:t>
      </w:r>
      <w:r>
        <w:rPr>
          <w:rFonts w:hint="eastAsia" w:ascii="仿宋" w:hAnsi="仿宋" w:eastAsia="仿宋"/>
          <w:kern w:val="0"/>
          <w:sz w:val="28"/>
          <w:szCs w:val="28"/>
        </w:rPr>
        <w:t>不设</w:t>
      </w:r>
      <w:r>
        <w:rPr>
          <w:rFonts w:ascii="仿宋" w:hAnsi="仿宋" w:eastAsia="仿宋"/>
          <w:kern w:val="0"/>
          <w:sz w:val="28"/>
          <w:szCs w:val="28"/>
        </w:rPr>
        <w:t>基础分，累及得分不设上限。</w:t>
      </w:r>
    </w:p>
    <w:p>
      <w:pPr>
        <w:widowControl/>
        <w:snapToGrid w:val="0"/>
        <w:spacing w:before="156" w:beforeLines="50" w:line="360" w:lineRule="auto"/>
        <w:jc w:val="lef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一</w:t>
      </w:r>
      <w:r>
        <w:rPr>
          <w:rFonts w:ascii="仿宋" w:hAnsi="仿宋" w:eastAsia="仿宋"/>
          <w:b/>
          <w:kern w:val="0"/>
          <w:sz w:val="28"/>
          <w:szCs w:val="28"/>
        </w:rPr>
        <w:t>、</w:t>
      </w:r>
      <w:r>
        <w:rPr>
          <w:rFonts w:hint="eastAsia" w:ascii="仿宋" w:hAnsi="仿宋" w:eastAsia="仿宋"/>
          <w:b/>
          <w:kern w:val="0"/>
          <w:sz w:val="28"/>
          <w:szCs w:val="28"/>
        </w:rPr>
        <w:t>在读博士/硕士研究生期间发表的学术论文加分</w:t>
      </w:r>
    </w:p>
    <w:p>
      <w:pPr>
        <w:widowControl/>
        <w:snapToGrid w:val="0"/>
        <w:spacing w:before="156" w:beforeLines="50" w:line="360" w:lineRule="auto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1</w:t>
      </w:r>
      <w:r>
        <w:rPr>
          <w:rFonts w:hint="eastAsia" w:ascii="仿宋" w:hAnsi="仿宋" w:eastAsia="仿宋"/>
          <w:kern w:val="0"/>
          <w:sz w:val="28"/>
          <w:szCs w:val="28"/>
        </w:rPr>
        <w:t>、</w:t>
      </w:r>
      <w:r>
        <w:rPr>
          <w:rFonts w:ascii="仿宋" w:hAnsi="仿宋" w:eastAsia="仿宋"/>
          <w:color w:val="FF0000"/>
          <w:kern w:val="0"/>
          <w:sz w:val="28"/>
          <w:szCs w:val="28"/>
        </w:rPr>
        <w:t>以第一作者</w:t>
      </w:r>
      <w:r>
        <w:rPr>
          <w:rFonts w:hint="eastAsia" w:ascii="仿宋" w:hAnsi="仿宋" w:eastAsia="仿宋"/>
          <w:color w:val="FF0000"/>
          <w:kern w:val="0"/>
          <w:sz w:val="28"/>
          <w:szCs w:val="28"/>
        </w:rPr>
        <w:t>且导师为通讯作者，或</w:t>
      </w:r>
      <w:r>
        <w:rPr>
          <w:rFonts w:ascii="仿宋" w:hAnsi="仿宋" w:eastAsia="仿宋"/>
          <w:color w:val="FF0000"/>
          <w:kern w:val="0"/>
          <w:sz w:val="28"/>
          <w:szCs w:val="28"/>
        </w:rPr>
        <w:t>以第二作者且导师为第一作者</w:t>
      </w:r>
      <w:r>
        <w:rPr>
          <w:rFonts w:hint="eastAsia" w:ascii="仿宋" w:hAnsi="仿宋" w:eastAsia="仿宋"/>
          <w:color w:val="FF0000"/>
          <w:kern w:val="0"/>
          <w:sz w:val="28"/>
          <w:szCs w:val="28"/>
        </w:rPr>
        <w:t>，</w:t>
      </w:r>
      <w:r>
        <w:rPr>
          <w:rFonts w:ascii="仿宋" w:hAnsi="仿宋" w:eastAsia="仿宋"/>
          <w:kern w:val="0"/>
          <w:sz w:val="28"/>
          <w:szCs w:val="28"/>
        </w:rPr>
        <w:t>发表在SCI、AHCI等检索学术期刊上的学术论文</w:t>
      </w:r>
      <w:r>
        <w:rPr>
          <w:rFonts w:hint="eastAsia" w:ascii="仿宋" w:hAnsi="仿宋" w:eastAsia="仿宋"/>
          <w:kern w:val="0"/>
          <w:sz w:val="28"/>
          <w:szCs w:val="28"/>
        </w:rPr>
        <w:t>，按照公式1（如下）进行记分。</w:t>
      </w:r>
    </w:p>
    <w:p>
      <w:pPr>
        <w:widowControl/>
        <w:snapToGrid w:val="0"/>
        <w:spacing w:before="156" w:beforeLines="50" w:line="360" w:lineRule="auto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公式1：A=20+（B-1）*10。（其中A为学术论文评级得分，B为影响因子）</w:t>
      </w:r>
    </w:p>
    <w:p>
      <w:pPr>
        <w:widowControl/>
        <w:snapToGrid w:val="0"/>
        <w:spacing w:before="156" w:beforeLines="50" w:line="360" w:lineRule="auto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如：发表一篇影响因子为2.0的SCI文章，A=20+（2-1）*10=30，记分30分。</w:t>
      </w:r>
    </w:p>
    <w:p>
      <w:pPr>
        <w:widowControl/>
        <w:snapToGrid w:val="0"/>
        <w:spacing w:before="156" w:beforeLines="50" w:line="360" w:lineRule="auto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2</w:t>
      </w:r>
      <w:r>
        <w:rPr>
          <w:rFonts w:hint="eastAsia" w:ascii="仿宋" w:hAnsi="仿宋" w:eastAsia="仿宋"/>
          <w:kern w:val="0"/>
          <w:sz w:val="28"/>
          <w:szCs w:val="28"/>
        </w:rPr>
        <w:t>、</w:t>
      </w:r>
      <w:r>
        <w:rPr>
          <w:rFonts w:ascii="仿宋" w:hAnsi="仿宋" w:eastAsia="仿宋"/>
          <w:color w:val="FF0000"/>
          <w:kern w:val="0"/>
          <w:sz w:val="28"/>
          <w:szCs w:val="28"/>
        </w:rPr>
        <w:t>以第一作者</w:t>
      </w:r>
      <w:r>
        <w:rPr>
          <w:rFonts w:hint="eastAsia" w:ascii="仿宋" w:hAnsi="仿宋" w:eastAsia="仿宋"/>
          <w:color w:val="FF0000"/>
          <w:kern w:val="0"/>
          <w:sz w:val="28"/>
          <w:szCs w:val="28"/>
        </w:rPr>
        <w:t>且导师为通讯作者，或</w:t>
      </w:r>
      <w:r>
        <w:rPr>
          <w:rFonts w:ascii="仿宋" w:hAnsi="仿宋" w:eastAsia="仿宋"/>
          <w:color w:val="FF0000"/>
          <w:kern w:val="0"/>
          <w:sz w:val="28"/>
          <w:szCs w:val="28"/>
        </w:rPr>
        <w:t>以第二作者且导师为第一作者</w:t>
      </w:r>
      <w:r>
        <w:rPr>
          <w:rFonts w:hint="eastAsia" w:ascii="仿宋" w:hAnsi="仿宋" w:eastAsia="仿宋"/>
          <w:color w:val="FF0000"/>
          <w:kern w:val="0"/>
          <w:sz w:val="28"/>
          <w:szCs w:val="28"/>
        </w:rPr>
        <w:t>，</w:t>
      </w:r>
      <w:r>
        <w:rPr>
          <w:rFonts w:ascii="仿宋" w:hAnsi="仿宋" w:eastAsia="仿宋"/>
          <w:kern w:val="0"/>
          <w:sz w:val="28"/>
          <w:szCs w:val="28"/>
        </w:rPr>
        <w:t>发表</w:t>
      </w:r>
      <w:r>
        <w:rPr>
          <w:rFonts w:hint="eastAsia" w:ascii="仿宋" w:hAnsi="仿宋" w:eastAsia="仿宋"/>
          <w:kern w:val="0"/>
          <w:sz w:val="28"/>
          <w:szCs w:val="28"/>
        </w:rPr>
        <w:t>被</w:t>
      </w:r>
      <w:r>
        <w:rPr>
          <w:rFonts w:ascii="仿宋" w:hAnsi="仿宋" w:eastAsia="仿宋"/>
          <w:kern w:val="0"/>
          <w:sz w:val="28"/>
          <w:szCs w:val="28"/>
        </w:rPr>
        <w:t>SCI</w:t>
      </w:r>
      <w:r>
        <w:rPr>
          <w:rFonts w:hint="eastAsia" w:ascii="仿宋" w:hAnsi="仿宋" w:eastAsia="仿宋"/>
          <w:kern w:val="0"/>
          <w:sz w:val="28"/>
          <w:szCs w:val="28"/>
        </w:rPr>
        <w:t>（影响因子＜1.0﹚或EI</w:t>
      </w:r>
      <w:r>
        <w:rPr>
          <w:rFonts w:ascii="仿宋" w:hAnsi="仿宋" w:eastAsia="仿宋"/>
          <w:kern w:val="0"/>
          <w:sz w:val="28"/>
          <w:szCs w:val="28"/>
        </w:rPr>
        <w:t>检索</w:t>
      </w:r>
      <w:r>
        <w:rPr>
          <w:rFonts w:hint="eastAsia" w:ascii="仿宋" w:hAnsi="仿宋" w:eastAsia="仿宋"/>
          <w:kern w:val="0"/>
          <w:sz w:val="28"/>
          <w:szCs w:val="28"/>
        </w:rPr>
        <w:t>（必须为JA类型的</w:t>
      </w:r>
      <w:r>
        <w:rPr>
          <w:rFonts w:ascii="仿宋" w:hAnsi="仿宋" w:eastAsia="仿宋"/>
          <w:kern w:val="0"/>
          <w:sz w:val="28"/>
          <w:szCs w:val="28"/>
        </w:rPr>
        <w:t>学术期刊</w:t>
      </w:r>
      <w:r>
        <w:rPr>
          <w:rFonts w:hint="eastAsia" w:ascii="仿宋" w:hAnsi="仿宋" w:eastAsia="仿宋"/>
          <w:kern w:val="0"/>
          <w:sz w:val="28"/>
          <w:szCs w:val="28"/>
        </w:rPr>
        <w:t>）</w:t>
      </w:r>
      <w:r>
        <w:rPr>
          <w:rFonts w:ascii="仿宋" w:hAnsi="仿宋" w:eastAsia="仿宋"/>
          <w:kern w:val="0"/>
          <w:sz w:val="28"/>
          <w:szCs w:val="28"/>
        </w:rPr>
        <w:t>的学术论文，每篇记</w:t>
      </w:r>
      <w:r>
        <w:rPr>
          <w:rFonts w:hint="eastAsia" w:ascii="仿宋" w:hAnsi="仿宋" w:eastAsia="仿宋"/>
          <w:kern w:val="0"/>
          <w:sz w:val="28"/>
          <w:szCs w:val="28"/>
        </w:rPr>
        <w:t>2</w:t>
      </w:r>
      <w:r>
        <w:rPr>
          <w:rFonts w:ascii="仿宋" w:hAnsi="仿宋" w:eastAsia="仿宋"/>
          <w:kern w:val="0"/>
          <w:sz w:val="28"/>
          <w:szCs w:val="28"/>
        </w:rPr>
        <w:t>0分；</w:t>
      </w:r>
    </w:p>
    <w:p>
      <w:pPr>
        <w:widowControl/>
        <w:snapToGrid w:val="0"/>
        <w:spacing w:before="156" w:beforeLines="50" w:line="360" w:lineRule="auto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3</w:t>
      </w:r>
      <w:r>
        <w:rPr>
          <w:rFonts w:hint="eastAsia" w:ascii="仿宋" w:hAnsi="仿宋" w:eastAsia="仿宋"/>
          <w:kern w:val="0"/>
          <w:sz w:val="28"/>
          <w:szCs w:val="28"/>
        </w:rPr>
        <w:t>、</w:t>
      </w:r>
      <w:r>
        <w:rPr>
          <w:rFonts w:ascii="仿宋" w:hAnsi="仿宋" w:eastAsia="仿宋"/>
          <w:kern w:val="0"/>
          <w:sz w:val="28"/>
          <w:szCs w:val="28"/>
        </w:rPr>
        <w:t>以第一作者</w:t>
      </w:r>
      <w:r>
        <w:rPr>
          <w:rFonts w:hint="eastAsia" w:ascii="仿宋" w:hAnsi="仿宋" w:eastAsia="仿宋"/>
          <w:kern w:val="0"/>
          <w:sz w:val="28"/>
          <w:szCs w:val="28"/>
        </w:rPr>
        <w:t>且导师为通讯作者，或</w:t>
      </w:r>
      <w:r>
        <w:rPr>
          <w:rFonts w:ascii="仿宋" w:hAnsi="仿宋" w:eastAsia="仿宋"/>
          <w:kern w:val="0"/>
          <w:sz w:val="28"/>
          <w:szCs w:val="28"/>
        </w:rPr>
        <w:t>以第二作者且导师为第一作者</w:t>
      </w:r>
      <w:r>
        <w:rPr>
          <w:rFonts w:hint="eastAsia" w:ascii="仿宋" w:hAnsi="仿宋" w:eastAsia="仿宋"/>
          <w:kern w:val="0"/>
          <w:sz w:val="28"/>
          <w:szCs w:val="28"/>
        </w:rPr>
        <w:t>，</w:t>
      </w:r>
      <w:r>
        <w:rPr>
          <w:rFonts w:ascii="仿宋" w:hAnsi="仿宋" w:eastAsia="仿宋"/>
          <w:kern w:val="0"/>
          <w:sz w:val="28"/>
          <w:szCs w:val="28"/>
        </w:rPr>
        <w:t>发表在</w:t>
      </w:r>
      <w:r>
        <w:rPr>
          <w:rFonts w:hint="eastAsia" w:ascii="仿宋" w:hAnsi="仿宋" w:eastAsia="仿宋"/>
          <w:kern w:val="0"/>
          <w:sz w:val="28"/>
          <w:szCs w:val="28"/>
        </w:rPr>
        <w:t>CSCD核心库（C库）</w:t>
      </w:r>
      <w:r>
        <w:rPr>
          <w:rFonts w:ascii="仿宋" w:hAnsi="仿宋" w:eastAsia="仿宋"/>
          <w:kern w:val="0"/>
          <w:sz w:val="28"/>
          <w:szCs w:val="28"/>
        </w:rPr>
        <w:t>的学术论文，每篇记</w:t>
      </w:r>
      <w:r>
        <w:rPr>
          <w:rFonts w:hint="eastAsia" w:ascii="仿宋" w:hAnsi="仿宋" w:eastAsia="仿宋"/>
          <w:kern w:val="0"/>
          <w:sz w:val="28"/>
          <w:szCs w:val="28"/>
        </w:rPr>
        <w:t>15</w:t>
      </w:r>
      <w:r>
        <w:rPr>
          <w:rFonts w:ascii="仿宋" w:hAnsi="仿宋" w:eastAsia="仿宋"/>
          <w:kern w:val="0"/>
          <w:sz w:val="28"/>
          <w:szCs w:val="28"/>
        </w:rPr>
        <w:t>分</w:t>
      </w:r>
      <w:r>
        <w:rPr>
          <w:rFonts w:hint="eastAsia" w:ascii="仿宋" w:hAnsi="仿宋" w:eastAsia="仿宋"/>
          <w:kern w:val="0"/>
          <w:sz w:val="28"/>
          <w:szCs w:val="28"/>
        </w:rPr>
        <w:t>,</w:t>
      </w:r>
      <w:r>
        <w:rPr>
          <w:rFonts w:ascii="仿宋" w:hAnsi="仿宋" w:eastAsia="仿宋"/>
          <w:kern w:val="0"/>
          <w:sz w:val="28"/>
          <w:szCs w:val="28"/>
        </w:rPr>
        <w:t>发表在CSCD</w:t>
      </w:r>
      <w:r>
        <w:rPr>
          <w:rFonts w:hint="eastAsia" w:ascii="仿宋" w:hAnsi="仿宋" w:eastAsia="仿宋"/>
          <w:kern w:val="0"/>
          <w:sz w:val="28"/>
          <w:szCs w:val="28"/>
        </w:rPr>
        <w:t>扩展库（E库）</w:t>
      </w:r>
      <w:r>
        <w:rPr>
          <w:rFonts w:ascii="仿宋" w:hAnsi="仿宋" w:eastAsia="仿宋"/>
          <w:kern w:val="0"/>
          <w:sz w:val="28"/>
          <w:szCs w:val="28"/>
        </w:rPr>
        <w:t>的学术论文，每篇记10分</w:t>
      </w:r>
      <w:r>
        <w:rPr>
          <w:rFonts w:hint="eastAsia" w:ascii="仿宋" w:hAnsi="仿宋" w:eastAsia="仿宋"/>
          <w:kern w:val="0"/>
          <w:sz w:val="28"/>
          <w:szCs w:val="28"/>
        </w:rPr>
        <w:t>;</w:t>
      </w:r>
    </w:p>
    <w:p>
      <w:pPr>
        <w:widowControl/>
        <w:snapToGrid w:val="0"/>
        <w:spacing w:before="156" w:beforeLines="50" w:line="360" w:lineRule="auto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4</w:t>
      </w:r>
      <w:r>
        <w:rPr>
          <w:rFonts w:hint="eastAsia" w:ascii="仿宋" w:hAnsi="仿宋" w:eastAsia="仿宋"/>
          <w:kern w:val="0"/>
          <w:sz w:val="28"/>
          <w:szCs w:val="28"/>
        </w:rPr>
        <w:t>、同一成果同时被多次索引、评奖的只按最高分值计分。</w:t>
      </w:r>
    </w:p>
    <w:p>
      <w:pPr>
        <w:widowControl/>
        <w:snapToGrid w:val="0"/>
        <w:spacing w:before="156" w:beforeLines="50" w:line="360" w:lineRule="auto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5、</w:t>
      </w:r>
      <w:r>
        <w:rPr>
          <w:rFonts w:hint="eastAsia" w:ascii="仿宋" w:hAnsi="仿宋" w:eastAsia="仿宋"/>
          <w:color w:val="FF0000"/>
          <w:kern w:val="0"/>
          <w:sz w:val="28"/>
          <w:szCs w:val="28"/>
        </w:rPr>
        <w:t>导师可包含副导师，且只可有一人，必须经过学院研究生培养办公室认定。</w:t>
      </w:r>
    </w:p>
    <w:p>
      <w:pPr>
        <w:widowControl/>
        <w:snapToGrid w:val="0"/>
        <w:spacing w:before="156" w:beforeLines="50" w:line="360" w:lineRule="auto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6</w:t>
      </w:r>
      <w:r>
        <w:rPr>
          <w:rFonts w:hint="eastAsia" w:ascii="仿宋" w:hAnsi="仿宋" w:eastAsia="仿宋"/>
          <w:kern w:val="0"/>
          <w:sz w:val="28"/>
          <w:szCs w:val="28"/>
        </w:rPr>
        <w:t>、 EI、SCI论文已见刊，但未被检索的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加10分</w:t>
      </w:r>
      <w:r>
        <w:rPr>
          <w:rFonts w:hint="eastAsia" w:ascii="仿宋" w:hAnsi="仿宋" w:eastAsia="仿宋"/>
          <w:kern w:val="0"/>
          <w:sz w:val="28"/>
          <w:szCs w:val="28"/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检索后差值计入下一年度的评优</w:t>
      </w:r>
      <w:r>
        <w:rPr>
          <w:rFonts w:hint="eastAsia" w:ascii="仿宋" w:hAnsi="仿宋" w:eastAsia="仿宋"/>
          <w:kern w:val="0"/>
          <w:sz w:val="28"/>
          <w:szCs w:val="28"/>
        </w:rPr>
        <w:t>。</w:t>
      </w:r>
    </w:p>
    <w:p>
      <w:pPr>
        <w:widowControl/>
        <w:snapToGrid w:val="0"/>
        <w:spacing w:before="156" w:beforeLines="50" w:line="360" w:lineRule="auto"/>
        <w:jc w:val="lef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二、在读博士/硕士研究生期间获得专利与著作权加分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1、所参评专利权及著作权必须为“北京林业大学”；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2</w:t>
      </w:r>
      <w:r>
        <w:rPr>
          <w:rFonts w:hint="eastAsia" w:ascii="仿宋" w:hAnsi="仿宋" w:eastAsia="仿宋"/>
          <w:kern w:val="0"/>
          <w:sz w:val="28"/>
          <w:szCs w:val="28"/>
        </w:rPr>
        <w:t>、</w:t>
      </w:r>
      <w:r>
        <w:rPr>
          <w:rFonts w:hint="eastAsia" w:ascii="仿宋" w:hAnsi="仿宋" w:eastAsia="仿宋"/>
          <w:color w:val="FF0000"/>
          <w:kern w:val="0"/>
          <w:sz w:val="28"/>
          <w:szCs w:val="28"/>
        </w:rPr>
        <w:t>只有参评人排名为第一或者为除导师的第一责任人给予加分</w:t>
      </w:r>
      <w:r>
        <w:rPr>
          <w:rFonts w:hint="eastAsia" w:ascii="仿宋" w:hAnsi="仿宋" w:eastAsia="仿宋"/>
          <w:kern w:val="0"/>
          <w:sz w:val="28"/>
          <w:szCs w:val="28"/>
        </w:rPr>
        <w:t>；</w:t>
      </w:r>
    </w:p>
    <w:tbl>
      <w:tblPr>
        <w:tblStyle w:val="4"/>
        <w:tblW w:w="7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4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vAlign w:val="center"/>
          </w:tcPr>
          <w:p>
            <w:pPr>
              <w:spacing w:line="360" w:lineRule="auto"/>
              <w:ind w:firstLine="281" w:firstLineChars="1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专利类别</w:t>
            </w:r>
          </w:p>
        </w:tc>
        <w:tc>
          <w:tcPr>
            <w:tcW w:w="4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得分值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发明专利</w:t>
            </w:r>
          </w:p>
        </w:tc>
        <w:tc>
          <w:tcPr>
            <w:tcW w:w="4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软著著作权</w:t>
            </w:r>
          </w:p>
        </w:tc>
        <w:tc>
          <w:tcPr>
            <w:tcW w:w="4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每项2分，6分封顶</w:t>
            </w:r>
          </w:p>
        </w:tc>
      </w:tr>
    </w:tbl>
    <w:p>
      <w:pPr>
        <w:widowControl/>
        <w:snapToGrid w:val="0"/>
        <w:spacing w:before="156" w:beforeLines="50" w:line="360" w:lineRule="auto"/>
        <w:jc w:val="lef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三、在读博士/硕士研究生期间获得科技类竞赛奖项加分</w:t>
      </w:r>
    </w:p>
    <w:tbl>
      <w:tblPr>
        <w:tblStyle w:val="4"/>
        <w:tblW w:w="7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30"/>
        <w:gridCol w:w="2126"/>
        <w:gridCol w:w="2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2806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奖项等级</w:t>
            </w:r>
          </w:p>
        </w:tc>
        <w:tc>
          <w:tcPr>
            <w:tcW w:w="4848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2806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个人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国家级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2722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团体项目按照参队人数进行分值均分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2722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2722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省部级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722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2722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北京林业大学工学院研究生评优委员会</w:t>
      </w:r>
    </w:p>
    <w:p>
      <w:pPr>
        <w:spacing w:line="360" w:lineRule="auto"/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09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28</w:t>
      </w: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</w:rPr>
        <w:t>日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728"/>
    <w:rsid w:val="00061020"/>
    <w:rsid w:val="000E3C8F"/>
    <w:rsid w:val="00257F37"/>
    <w:rsid w:val="00297F26"/>
    <w:rsid w:val="002D0A65"/>
    <w:rsid w:val="002E5B61"/>
    <w:rsid w:val="00383D07"/>
    <w:rsid w:val="003912C4"/>
    <w:rsid w:val="003C0F41"/>
    <w:rsid w:val="003E148C"/>
    <w:rsid w:val="00481620"/>
    <w:rsid w:val="004A0220"/>
    <w:rsid w:val="004B2BAD"/>
    <w:rsid w:val="00525B40"/>
    <w:rsid w:val="005364A2"/>
    <w:rsid w:val="00540728"/>
    <w:rsid w:val="005F0D72"/>
    <w:rsid w:val="005F3540"/>
    <w:rsid w:val="005F5208"/>
    <w:rsid w:val="0060619E"/>
    <w:rsid w:val="00620C0C"/>
    <w:rsid w:val="006B785A"/>
    <w:rsid w:val="007013F5"/>
    <w:rsid w:val="007074B5"/>
    <w:rsid w:val="007A492A"/>
    <w:rsid w:val="009C420E"/>
    <w:rsid w:val="00A036D9"/>
    <w:rsid w:val="00A4061F"/>
    <w:rsid w:val="00A8779D"/>
    <w:rsid w:val="00A94FA9"/>
    <w:rsid w:val="00AE23EF"/>
    <w:rsid w:val="00B37621"/>
    <w:rsid w:val="00B3789E"/>
    <w:rsid w:val="00B4527C"/>
    <w:rsid w:val="00B65F7B"/>
    <w:rsid w:val="00C22E30"/>
    <w:rsid w:val="00C30674"/>
    <w:rsid w:val="00C4655C"/>
    <w:rsid w:val="00CD19C7"/>
    <w:rsid w:val="00D1319A"/>
    <w:rsid w:val="00D53145"/>
    <w:rsid w:val="00D967BA"/>
    <w:rsid w:val="00DA218A"/>
    <w:rsid w:val="00DE2F05"/>
    <w:rsid w:val="00E27FA3"/>
    <w:rsid w:val="00E45285"/>
    <w:rsid w:val="00EE1001"/>
    <w:rsid w:val="00F44EB3"/>
    <w:rsid w:val="00F6694A"/>
    <w:rsid w:val="00F77337"/>
    <w:rsid w:val="00F9347A"/>
    <w:rsid w:val="00FA3D0D"/>
    <w:rsid w:val="00FE2B4C"/>
    <w:rsid w:val="0E916C7B"/>
    <w:rsid w:val="11D64538"/>
    <w:rsid w:val="14524887"/>
    <w:rsid w:val="18525771"/>
    <w:rsid w:val="199C2179"/>
    <w:rsid w:val="1BE4460B"/>
    <w:rsid w:val="1F821A39"/>
    <w:rsid w:val="36BE5E68"/>
    <w:rsid w:val="3C8A6ABB"/>
    <w:rsid w:val="3F2A3922"/>
    <w:rsid w:val="4D9B3B0D"/>
    <w:rsid w:val="4DC07BDB"/>
    <w:rsid w:val="52ED1DAE"/>
    <w:rsid w:val="568F429E"/>
    <w:rsid w:val="5D4C4F25"/>
    <w:rsid w:val="5D5B1BF4"/>
    <w:rsid w:val="605A677F"/>
    <w:rsid w:val="7254055A"/>
    <w:rsid w:val="757B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123</Words>
  <Characters>703</Characters>
  <Lines>5</Lines>
  <Paragraphs>1</Paragraphs>
  <TotalTime>158</TotalTime>
  <ScaleCrop>false</ScaleCrop>
  <LinksUpToDate>false</LinksUpToDate>
  <CharactersWithSpaces>825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2015-04-15T07:57:00Z</dcterms:created>
  <dc:creator>gongxueyuan</dc:creator>
  <cp:lastModifiedBy>823</cp:lastModifiedBy>
  <dcterms:modified xsi:type="dcterms:W3CDTF">2021-09-28T11:11:36Z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F97104B1A48442DC94FB3FA03ECEAEF8</vt:lpwstr>
  </property>
</Properties>
</file>