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b/>
          <w:sz w:val="32"/>
          <w:szCs w:val="32"/>
        </w:rPr>
      </w:pPr>
      <w:r>
        <w:rPr>
          <w:rFonts w:hint="eastAsia"/>
          <w:b/>
          <w:sz w:val="32"/>
          <w:szCs w:val="32"/>
        </w:rPr>
        <w:t>北京林业大学工学院研究生优秀奖学金评定办法</w:t>
      </w:r>
    </w:p>
    <w:p>
      <w:pPr>
        <w:pStyle w:val="11"/>
        <w:spacing w:before="312" w:beforeLines="100" w:after="312" w:afterLines="100"/>
        <w:jc w:val="center"/>
        <w:rPr>
          <w:rFonts w:ascii="仿宋" w:hAnsi="仿宋" w:eastAsia="仿宋"/>
          <w:b/>
          <w:bCs/>
          <w:sz w:val="30"/>
          <w:szCs w:val="30"/>
        </w:rPr>
      </w:pPr>
      <w:r>
        <w:rPr>
          <w:rFonts w:hint="eastAsia" w:ascii="仿宋" w:hAnsi="仿宋" w:eastAsia="仿宋" w:cs="仿宋"/>
          <w:b/>
          <w:bCs/>
          <w:sz w:val="30"/>
          <w:szCs w:val="30"/>
        </w:rPr>
        <w:t>第一章</w:t>
      </w:r>
      <w:r>
        <w:rPr>
          <w:rFonts w:ascii="仿宋" w:hAnsi="仿宋" w:eastAsia="仿宋" w:cs="仿宋"/>
          <w:b/>
          <w:bCs/>
          <w:sz w:val="30"/>
          <w:szCs w:val="30"/>
        </w:rPr>
        <w:t xml:space="preserve"> </w:t>
      </w:r>
      <w:r>
        <w:rPr>
          <w:rFonts w:hint="eastAsia" w:ascii="仿宋" w:hAnsi="仿宋" w:eastAsia="仿宋" w:cs="仿宋"/>
          <w:b/>
          <w:bCs/>
          <w:sz w:val="30"/>
          <w:szCs w:val="30"/>
        </w:rPr>
        <w:t>总则</w:t>
      </w:r>
    </w:p>
    <w:p>
      <w:pPr>
        <w:spacing w:line="360" w:lineRule="auto"/>
        <w:ind w:firstLine="562" w:firstLineChars="200"/>
        <w:rPr>
          <w:rFonts w:ascii="仿宋" w:hAnsi="仿宋" w:eastAsia="仿宋"/>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w:t>
      </w:r>
      <w:r>
        <w:rPr>
          <w:rFonts w:hint="eastAsia" w:ascii="仿宋" w:hAnsi="仿宋" w:eastAsia="仿宋" w:cs="仿宋"/>
          <w:sz w:val="28"/>
          <w:szCs w:val="28"/>
        </w:rPr>
        <w:t>根据《财政部、国家发展改革委、教育部关于完善研究生教育投入机制的意见》（财教</w:t>
      </w:r>
      <w:r>
        <w:rPr>
          <w:rFonts w:ascii="仿宋" w:hAnsi="仿宋" w:eastAsia="仿宋" w:cs="仿宋"/>
          <w:sz w:val="28"/>
          <w:szCs w:val="28"/>
        </w:rPr>
        <w:t>[2013]19</w:t>
      </w:r>
      <w:r>
        <w:rPr>
          <w:rFonts w:hint="eastAsia" w:ascii="仿宋" w:hAnsi="仿宋" w:eastAsia="仿宋" w:cs="仿宋"/>
          <w:sz w:val="28"/>
          <w:szCs w:val="28"/>
        </w:rPr>
        <w:t>号）文件精神，结合《北京林业大学研究生优秀奖学金评定办法》文件要求，为提高我院研究生培养质量，促进创新人才培养，鼓励研究生在学期间德、智、体</w:t>
      </w:r>
      <w:r>
        <w:rPr>
          <w:rFonts w:hint="eastAsia" w:ascii="仿宋" w:hAnsi="仿宋" w:eastAsia="仿宋" w:cs="仿宋"/>
          <w:sz w:val="28"/>
          <w:szCs w:val="28"/>
          <w:lang w:eastAsia="zh-CN"/>
        </w:rPr>
        <w:t>、美、劳</w:t>
      </w:r>
      <w:r>
        <w:rPr>
          <w:rFonts w:hint="eastAsia" w:ascii="仿宋" w:hAnsi="仿宋" w:eastAsia="仿宋" w:cs="仿宋"/>
          <w:sz w:val="28"/>
          <w:szCs w:val="28"/>
        </w:rPr>
        <w:t>全面发展。为做好优秀奖学金评定工作，特制定本办法。</w:t>
      </w:r>
    </w:p>
    <w:p>
      <w:pPr>
        <w:spacing w:line="30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sz w:val="28"/>
          <w:szCs w:val="28"/>
        </w:rPr>
        <w:t>本办法适用于北京林业大学全日制二年级（含）以上非在职研究生，以及批准攻读博士学位的硕博连读（博士一年级）非在职研究生，延期一年的研究生只可参加学术创新奖的评选。</w:t>
      </w:r>
    </w:p>
    <w:p>
      <w:pPr>
        <w:spacing w:line="300" w:lineRule="auto"/>
        <w:ind w:firstLine="562" w:firstLineChars="200"/>
        <w:rPr>
          <w:rFonts w:ascii="仿宋" w:hAnsi="仿宋" w:eastAsia="仿宋"/>
          <w:sz w:val="28"/>
          <w:szCs w:val="28"/>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sz w:val="28"/>
          <w:szCs w:val="28"/>
        </w:rPr>
        <w:t>优秀奖学金所需经费列入学校年度财政预算。</w:t>
      </w:r>
    </w:p>
    <w:p>
      <w:pPr>
        <w:spacing w:line="300" w:lineRule="auto"/>
        <w:ind w:firstLine="562" w:firstLineChars="200"/>
        <w:rPr>
          <w:rFonts w:ascii="仿宋" w:hAnsi="仿宋" w:eastAsia="仿宋"/>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sz w:val="28"/>
          <w:szCs w:val="28"/>
        </w:rPr>
        <w:t>优秀奖学金在每年的</w:t>
      </w:r>
      <w:r>
        <w:rPr>
          <w:rFonts w:hint="eastAsia" w:ascii="仿宋" w:hAnsi="仿宋" w:eastAsia="仿宋" w:cs="仿宋"/>
          <w:sz w:val="28"/>
          <w:szCs w:val="28"/>
          <w:lang w:val="en-US" w:eastAsia="zh-CN"/>
        </w:rPr>
        <w:t>10</w:t>
      </w:r>
      <w:r>
        <w:rPr>
          <w:rFonts w:hint="eastAsia" w:ascii="仿宋" w:hAnsi="仿宋" w:eastAsia="仿宋" w:cs="仿宋"/>
          <w:sz w:val="28"/>
          <w:szCs w:val="28"/>
        </w:rPr>
        <w:t>月进行评审，评定依据时间为上一年度</w:t>
      </w:r>
      <w:r>
        <w:rPr>
          <w:rFonts w:ascii="仿宋" w:hAnsi="仿宋" w:eastAsia="仿宋" w:cs="仿宋"/>
          <w:sz w:val="28"/>
          <w:szCs w:val="28"/>
        </w:rPr>
        <w:t>9</w:t>
      </w:r>
      <w:r>
        <w:rPr>
          <w:rFonts w:hint="eastAsia" w:ascii="仿宋" w:hAnsi="仿宋" w:eastAsia="仿宋" w:cs="仿宋"/>
          <w:sz w:val="28"/>
          <w:szCs w:val="28"/>
        </w:rPr>
        <w:t>月1日到当年8月31日。</w:t>
      </w:r>
    </w:p>
    <w:p>
      <w:pPr>
        <w:pStyle w:val="11"/>
        <w:spacing w:before="312" w:beforeLines="100" w:after="312" w:afterLines="100"/>
        <w:jc w:val="center"/>
        <w:rPr>
          <w:rFonts w:ascii="仿宋" w:hAnsi="仿宋" w:eastAsia="仿宋"/>
          <w:b/>
          <w:bCs/>
          <w:sz w:val="30"/>
          <w:szCs w:val="30"/>
        </w:rPr>
      </w:pPr>
      <w:r>
        <w:rPr>
          <w:rFonts w:hint="eastAsia" w:ascii="仿宋" w:hAnsi="仿宋" w:eastAsia="仿宋" w:cs="仿宋"/>
          <w:b/>
          <w:bCs/>
          <w:sz w:val="30"/>
          <w:szCs w:val="30"/>
        </w:rPr>
        <w:t>第二章</w:t>
      </w:r>
      <w:r>
        <w:rPr>
          <w:rFonts w:ascii="仿宋" w:hAnsi="仿宋" w:eastAsia="仿宋" w:cs="仿宋"/>
          <w:b/>
          <w:bCs/>
          <w:sz w:val="30"/>
          <w:szCs w:val="30"/>
        </w:rPr>
        <w:t xml:space="preserve"> </w:t>
      </w:r>
      <w:r>
        <w:rPr>
          <w:rFonts w:hint="eastAsia" w:ascii="仿宋" w:hAnsi="仿宋" w:eastAsia="仿宋" w:cs="仿宋"/>
          <w:b/>
          <w:bCs/>
          <w:sz w:val="30"/>
          <w:szCs w:val="30"/>
        </w:rPr>
        <w:t>奖励标准与评定类别</w:t>
      </w:r>
    </w:p>
    <w:p>
      <w:pPr>
        <w:spacing w:line="360" w:lineRule="auto"/>
        <w:ind w:firstLine="562" w:firstLineChars="200"/>
        <w:rPr>
          <w:rFonts w:ascii="仿宋" w:hAnsi="仿宋" w:eastAsia="仿宋"/>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sz w:val="28"/>
          <w:szCs w:val="28"/>
        </w:rPr>
        <w:t>优秀奖学金分为优秀研究生、学术创新奖（团队奖和个人奖）、优秀研究生干部</w:t>
      </w:r>
      <w:r>
        <w:rPr>
          <w:rFonts w:hint="eastAsia" w:ascii="仿宋" w:hAnsi="仿宋" w:eastAsia="仿宋" w:cs="仿宋"/>
          <w:sz w:val="28"/>
          <w:szCs w:val="28"/>
          <w:lang w:val="en-US" w:eastAsia="zh-CN"/>
        </w:rPr>
        <w:t>和专项奖学金四</w:t>
      </w:r>
      <w:r>
        <w:rPr>
          <w:rFonts w:hint="eastAsia" w:ascii="仿宋" w:hAnsi="仿宋" w:eastAsia="仿宋" w:cs="仿宋"/>
          <w:sz w:val="28"/>
          <w:szCs w:val="28"/>
        </w:rPr>
        <w:t>类。</w:t>
      </w:r>
    </w:p>
    <w:p>
      <w:pPr>
        <w:spacing w:line="300" w:lineRule="auto"/>
        <w:ind w:firstLine="562" w:firstLineChars="200"/>
        <w:rPr>
          <w:rFonts w:ascii="仿宋" w:hAnsi="仿宋" w:eastAsia="仿宋"/>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sz w:val="28"/>
          <w:szCs w:val="28"/>
        </w:rPr>
        <w:t>奖励标准及比例：</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1.优秀研究生：奖励标准为每生2000元，获奖比例为参评人数的10%；</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2.学术创新奖：分为团队奖和个人奖两类，团队奖奖励标准为每个团队4000元，个人奖奖励标准为每生2000元，获奖比例按标准确定，不设上限；</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3.优秀研究生干部：奖励标准为每生1000元，班级干部获奖比例为班级人数的5%，校院两级研究生会及社团组织干部获奖比例为所在机构总人数的15%。</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4.专项奖学金：分为团队奖和个人奖两类，团队奖奖励标准为每个团队2000元，个人奖奖励标准为每生1000元，获奖比例按标准确定，不设上限。</w:t>
      </w:r>
    </w:p>
    <w:p>
      <w:pPr>
        <w:spacing w:line="360" w:lineRule="auto"/>
        <w:ind w:firstLine="562" w:firstLineChars="200"/>
        <w:rPr>
          <w:rFonts w:ascii="仿宋" w:hAnsi="仿宋" w:eastAsia="仿宋"/>
          <w:sz w:val="28"/>
          <w:szCs w:val="28"/>
        </w:rPr>
      </w:pPr>
      <w:r>
        <w:rPr>
          <w:rFonts w:hint="eastAsia" w:ascii="仿宋" w:hAnsi="仿宋" w:eastAsia="仿宋" w:cs="仿宋"/>
          <w:b/>
          <w:bCs/>
          <w:sz w:val="28"/>
          <w:szCs w:val="28"/>
        </w:rPr>
        <w:t>第七条</w:t>
      </w:r>
      <w:r>
        <w:rPr>
          <w:rFonts w:ascii="仿宋" w:hAnsi="仿宋" w:eastAsia="仿宋" w:cs="仿宋"/>
          <w:sz w:val="28"/>
          <w:szCs w:val="28"/>
        </w:rPr>
        <w:t xml:space="preserve">  </w:t>
      </w:r>
      <w:r>
        <w:rPr>
          <w:rFonts w:hint="eastAsia" w:ascii="仿宋" w:hAnsi="仿宋" w:eastAsia="仿宋" w:cs="仿宋"/>
          <w:sz w:val="28"/>
          <w:szCs w:val="28"/>
        </w:rPr>
        <w:t>评定条件</w:t>
      </w:r>
    </w:p>
    <w:p>
      <w:pPr>
        <w:pStyle w:val="12"/>
        <w:numPr>
          <w:ilvl w:val="0"/>
          <w:numId w:val="1"/>
        </w:numPr>
        <w:spacing w:line="300" w:lineRule="auto"/>
        <w:ind w:firstLineChars="0"/>
        <w:rPr>
          <w:rFonts w:ascii="仿宋" w:hAnsi="仿宋" w:eastAsia="仿宋"/>
          <w:b/>
          <w:bCs/>
          <w:sz w:val="28"/>
          <w:szCs w:val="28"/>
        </w:rPr>
      </w:pPr>
      <w:r>
        <w:rPr>
          <w:rFonts w:hint="eastAsia" w:ascii="仿宋" w:hAnsi="仿宋" w:eastAsia="仿宋" w:cs="仿宋"/>
          <w:b/>
          <w:bCs/>
          <w:sz w:val="28"/>
          <w:szCs w:val="28"/>
        </w:rPr>
        <w:t>优秀研究生</w:t>
      </w:r>
    </w:p>
    <w:p>
      <w:pPr>
        <w:numPr>
          <w:ilvl w:val="0"/>
          <w:numId w:val="2"/>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评定办法</w:t>
      </w:r>
    </w:p>
    <w:p>
      <w:pPr>
        <w:spacing w:line="360" w:lineRule="auto"/>
        <w:rPr>
          <w:rFonts w:ascii="仿宋" w:hAnsi="仿宋" w:eastAsia="仿宋" w:cs="仿宋"/>
          <w:sz w:val="28"/>
          <w:szCs w:val="28"/>
        </w:rPr>
      </w:pPr>
      <w:r>
        <w:rPr>
          <w:rFonts w:hint="eastAsia" w:ascii="仿宋" w:hAnsi="仿宋" w:eastAsia="仿宋" w:cs="仿宋"/>
          <w:sz w:val="28"/>
          <w:szCs w:val="28"/>
        </w:rPr>
        <w:t xml:space="preserve">    步骤1：学年综合成绩Q在本年级或本年级学科排名前</w:t>
      </w:r>
      <w:r>
        <w:rPr>
          <w:rFonts w:ascii="仿宋" w:hAnsi="仿宋" w:eastAsia="仿宋" w:cs="仿宋"/>
          <w:sz w:val="28"/>
          <w:szCs w:val="28"/>
        </w:rPr>
        <w:t>30%</w:t>
      </w:r>
      <w:r>
        <w:rPr>
          <w:rFonts w:hint="eastAsia" w:ascii="仿宋" w:hAnsi="仿宋" w:eastAsia="仿宋" w:cs="仿宋"/>
          <w:sz w:val="28"/>
          <w:szCs w:val="28"/>
        </w:rPr>
        <w:t>者均具有资格，Q按如下公式进行计算并排名：</w:t>
      </w:r>
    </w:p>
    <w:p>
      <w:pPr>
        <w:spacing w:after="156" w:afterLines="50" w:line="440" w:lineRule="exact"/>
        <w:ind w:firstLine="1120" w:firstLineChars="400"/>
        <w:rPr>
          <w:rFonts w:ascii="仿宋" w:hAnsi="仿宋" w:eastAsia="仿宋"/>
          <w:sz w:val="28"/>
          <w:szCs w:val="28"/>
        </w:rPr>
      </w:pPr>
      <w:r>
        <w:rPr>
          <w:rFonts w:hint="eastAsia" w:ascii="仿宋" w:hAnsi="仿宋" w:eastAsia="仿宋"/>
          <w:sz w:val="28"/>
          <w:szCs w:val="28"/>
        </w:rPr>
        <w:t>研二硕士研究生……………</w:t>
      </w:r>
      <w:r>
        <w:rPr>
          <w:rFonts w:ascii="仿宋" w:hAnsi="仿宋" w:eastAsia="仿宋"/>
          <w:sz w:val="28"/>
          <w:szCs w:val="28"/>
        </w:rPr>
        <w:t>Q = 0.</w:t>
      </w:r>
      <w:r>
        <w:rPr>
          <w:rFonts w:hint="eastAsia" w:ascii="仿宋" w:hAnsi="仿宋" w:eastAsia="仿宋"/>
          <w:sz w:val="28"/>
          <w:szCs w:val="28"/>
        </w:rPr>
        <w:t>2</w:t>
      </w:r>
      <w:r>
        <w:rPr>
          <w:rFonts w:ascii="仿宋" w:hAnsi="仿宋" w:eastAsia="仿宋"/>
          <w:sz w:val="28"/>
          <w:szCs w:val="28"/>
        </w:rPr>
        <w:t>Q1 + 0.</w:t>
      </w:r>
      <w:r>
        <w:rPr>
          <w:rFonts w:hint="eastAsia" w:ascii="仿宋" w:hAnsi="仿宋" w:eastAsia="仿宋"/>
          <w:sz w:val="28"/>
          <w:szCs w:val="28"/>
        </w:rPr>
        <w:t>4</w:t>
      </w:r>
      <w:r>
        <w:rPr>
          <w:rFonts w:ascii="仿宋" w:hAnsi="仿宋" w:eastAsia="仿宋"/>
          <w:sz w:val="28"/>
          <w:szCs w:val="28"/>
        </w:rPr>
        <w:t>Q2 + 0.</w:t>
      </w:r>
      <w:r>
        <w:rPr>
          <w:rFonts w:hint="eastAsia" w:ascii="仿宋" w:hAnsi="仿宋" w:eastAsia="仿宋"/>
          <w:sz w:val="28"/>
          <w:szCs w:val="28"/>
        </w:rPr>
        <w:t>4</w:t>
      </w:r>
      <w:r>
        <w:rPr>
          <w:rFonts w:ascii="仿宋" w:hAnsi="仿宋" w:eastAsia="仿宋"/>
          <w:sz w:val="28"/>
          <w:szCs w:val="28"/>
        </w:rPr>
        <w:t>Q3</w:t>
      </w:r>
    </w:p>
    <w:p>
      <w:pPr>
        <w:spacing w:after="156" w:afterLines="50" w:line="440" w:lineRule="exact"/>
        <w:ind w:firstLine="1120" w:firstLineChars="400"/>
        <w:rPr>
          <w:rFonts w:ascii="仿宋" w:hAnsi="仿宋" w:eastAsia="仿宋"/>
          <w:sz w:val="28"/>
          <w:szCs w:val="28"/>
        </w:rPr>
      </w:pPr>
      <w:r>
        <w:rPr>
          <w:rFonts w:hint="eastAsia" w:ascii="仿宋" w:hAnsi="仿宋" w:eastAsia="仿宋"/>
          <w:sz w:val="28"/>
          <w:szCs w:val="28"/>
        </w:rPr>
        <w:t>研三硕士研究生及博士……………</w:t>
      </w:r>
      <w:r>
        <w:rPr>
          <w:rFonts w:ascii="仿宋" w:hAnsi="仿宋" w:eastAsia="仿宋"/>
          <w:sz w:val="28"/>
          <w:szCs w:val="28"/>
        </w:rPr>
        <w:t>Q = 0.</w:t>
      </w:r>
      <w:r>
        <w:rPr>
          <w:rFonts w:hint="eastAsia" w:ascii="仿宋" w:hAnsi="仿宋" w:eastAsia="仿宋"/>
          <w:sz w:val="28"/>
          <w:szCs w:val="28"/>
        </w:rPr>
        <w:t>6</w:t>
      </w:r>
      <w:r>
        <w:rPr>
          <w:rFonts w:ascii="仿宋" w:hAnsi="仿宋" w:eastAsia="仿宋"/>
          <w:sz w:val="28"/>
          <w:szCs w:val="28"/>
        </w:rPr>
        <w:t>Q2 +</w:t>
      </w:r>
      <w:r>
        <w:rPr>
          <w:rFonts w:hint="eastAsia" w:ascii="仿宋" w:hAnsi="仿宋" w:eastAsia="仿宋"/>
          <w:sz w:val="28"/>
          <w:szCs w:val="28"/>
        </w:rPr>
        <w:t xml:space="preserve"> </w:t>
      </w:r>
      <w:r>
        <w:rPr>
          <w:rFonts w:ascii="仿宋" w:hAnsi="仿宋" w:eastAsia="仿宋"/>
          <w:sz w:val="28"/>
          <w:szCs w:val="28"/>
        </w:rPr>
        <w:t>0.</w:t>
      </w:r>
      <w:r>
        <w:rPr>
          <w:rFonts w:hint="eastAsia" w:ascii="仿宋" w:hAnsi="仿宋" w:eastAsia="仿宋"/>
          <w:sz w:val="28"/>
          <w:szCs w:val="28"/>
        </w:rPr>
        <w:t>4</w:t>
      </w:r>
      <w:r>
        <w:rPr>
          <w:rFonts w:ascii="仿宋" w:hAnsi="仿宋" w:eastAsia="仿宋"/>
          <w:sz w:val="28"/>
          <w:szCs w:val="28"/>
        </w:rPr>
        <w:t>Q3</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步骤2：不同年级分开评选，硕士研究生和博士研究生分开评选。按照各自分配名额在具有资格的研究生中</w:t>
      </w:r>
      <w:r>
        <w:rPr>
          <w:rFonts w:hint="eastAsia" w:ascii="仿宋" w:hAnsi="仿宋" w:eastAsia="仿宋"/>
          <w:sz w:val="28"/>
          <w:szCs w:val="28"/>
        </w:rPr>
        <w:t>按Q3（社会工作及综合表现）</w:t>
      </w:r>
      <w:r>
        <w:rPr>
          <w:rFonts w:hint="eastAsia" w:ascii="仿宋" w:hAnsi="仿宋" w:eastAsia="仿宋" w:cs="仿宋"/>
          <w:sz w:val="28"/>
          <w:szCs w:val="28"/>
        </w:rPr>
        <w:t>分数高低依</w:t>
      </w:r>
      <w:r>
        <w:rPr>
          <w:rFonts w:hint="eastAsia" w:ascii="仿宋" w:hAnsi="仿宋" w:eastAsia="仿宋"/>
          <w:sz w:val="28"/>
          <w:szCs w:val="28"/>
        </w:rPr>
        <w:t>次选拔。</w:t>
      </w:r>
    </w:p>
    <w:p>
      <w:pPr>
        <w:spacing w:after="156" w:afterLines="50" w:line="440" w:lineRule="exact"/>
        <w:ind w:firstLine="560" w:firstLineChars="200"/>
        <w:rPr>
          <w:rFonts w:ascii="仿宋" w:hAnsi="仿宋" w:eastAsia="仿宋"/>
          <w:sz w:val="28"/>
          <w:szCs w:val="28"/>
        </w:rPr>
      </w:pPr>
      <w:r>
        <w:rPr>
          <w:rFonts w:hint="eastAsia" w:ascii="仿宋" w:hAnsi="仿宋" w:eastAsia="仿宋"/>
          <w:sz w:val="28"/>
          <w:szCs w:val="28"/>
        </w:rPr>
        <w:t>其中，</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 xml:space="preserve">Q1 </w:t>
      </w:r>
      <w:r>
        <w:rPr>
          <w:rFonts w:hint="eastAsia" w:ascii="仿宋" w:hAnsi="仿宋" w:eastAsia="仿宋"/>
          <w:sz w:val="28"/>
          <w:szCs w:val="28"/>
        </w:rPr>
        <w:t>——第一学年课程</w:t>
      </w:r>
      <w:r>
        <w:rPr>
          <w:rFonts w:ascii="仿宋" w:hAnsi="仿宋" w:eastAsia="仿宋"/>
          <w:sz w:val="28"/>
          <w:szCs w:val="28"/>
        </w:rPr>
        <w:t>加权平均分数，由</w:t>
      </w:r>
      <w:r>
        <w:rPr>
          <w:rFonts w:hint="eastAsia" w:ascii="仿宋" w:hAnsi="仿宋" w:eastAsia="仿宋"/>
          <w:sz w:val="28"/>
          <w:szCs w:val="28"/>
        </w:rPr>
        <w:t>学院研究生</w:t>
      </w:r>
      <w:r>
        <w:rPr>
          <w:rFonts w:ascii="仿宋" w:hAnsi="仿宋" w:eastAsia="仿宋"/>
          <w:sz w:val="28"/>
          <w:szCs w:val="28"/>
        </w:rPr>
        <w:t>秘书</w:t>
      </w:r>
      <w:r>
        <w:rPr>
          <w:rFonts w:hint="eastAsia" w:ascii="仿宋" w:hAnsi="仿宋" w:eastAsia="仿宋"/>
          <w:sz w:val="28"/>
          <w:szCs w:val="28"/>
        </w:rPr>
        <w:t>提供支撑材料，</w:t>
      </w:r>
      <w:r>
        <w:rPr>
          <w:rFonts w:ascii="仿宋" w:hAnsi="仿宋" w:eastAsia="仿宋"/>
          <w:sz w:val="28"/>
          <w:szCs w:val="28"/>
        </w:rPr>
        <w:t>班级评定小组审核。</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 xml:space="preserve">Q2 </w:t>
      </w:r>
      <w:r>
        <w:rPr>
          <w:rFonts w:hint="eastAsia" w:ascii="仿宋" w:hAnsi="仿宋" w:eastAsia="仿宋"/>
          <w:sz w:val="28"/>
          <w:szCs w:val="28"/>
        </w:rPr>
        <w:t>——上一学年发表论文（编著）及检索、科研成果、发明专利等得分，及参加各类科技</w:t>
      </w:r>
      <w:r>
        <w:rPr>
          <w:rFonts w:ascii="仿宋" w:hAnsi="仿宋" w:eastAsia="仿宋"/>
          <w:sz w:val="28"/>
          <w:szCs w:val="28"/>
        </w:rPr>
        <w:t>竞赛</w:t>
      </w:r>
      <w:r>
        <w:rPr>
          <w:rFonts w:hint="eastAsia" w:ascii="仿宋" w:hAnsi="仿宋" w:eastAsia="仿宋"/>
          <w:sz w:val="28"/>
          <w:szCs w:val="28"/>
        </w:rPr>
        <w:t>获奖得分，</w:t>
      </w:r>
      <w:r>
        <w:rPr>
          <w:rFonts w:ascii="仿宋" w:hAnsi="仿宋" w:eastAsia="仿宋"/>
          <w:sz w:val="28"/>
          <w:szCs w:val="28"/>
        </w:rPr>
        <w:t>具体细则参见《</w:t>
      </w:r>
      <w:r>
        <w:rPr>
          <w:rFonts w:hint="eastAsia" w:ascii="仿宋" w:hAnsi="仿宋" w:eastAsia="仿宋"/>
          <w:sz w:val="28"/>
          <w:szCs w:val="28"/>
        </w:rPr>
        <w:t>北京林业</w:t>
      </w:r>
      <w:r>
        <w:rPr>
          <w:rFonts w:ascii="仿宋" w:hAnsi="仿宋" w:eastAsia="仿宋"/>
          <w:sz w:val="28"/>
          <w:szCs w:val="28"/>
        </w:rPr>
        <w:t>大学工学院研究生学术成果</w:t>
      </w:r>
      <w:r>
        <w:rPr>
          <w:rFonts w:hint="eastAsia" w:ascii="仿宋" w:hAnsi="仿宋" w:eastAsia="仿宋"/>
          <w:sz w:val="28"/>
          <w:szCs w:val="28"/>
        </w:rPr>
        <w:t>评定</w:t>
      </w:r>
      <w:r>
        <w:rPr>
          <w:rFonts w:ascii="仿宋" w:hAnsi="仿宋" w:eastAsia="仿宋"/>
          <w:sz w:val="28"/>
          <w:szCs w:val="28"/>
        </w:rPr>
        <w:t>细则》</w:t>
      </w:r>
      <w:r>
        <w:rPr>
          <w:rFonts w:hint="eastAsia" w:ascii="仿宋" w:hAnsi="仿宋" w:eastAsia="仿宋"/>
          <w:sz w:val="28"/>
          <w:szCs w:val="28"/>
        </w:rPr>
        <w:t>，由</w:t>
      </w:r>
      <w:r>
        <w:rPr>
          <w:rFonts w:ascii="仿宋" w:hAnsi="仿宋" w:eastAsia="仿宋"/>
          <w:sz w:val="28"/>
          <w:szCs w:val="28"/>
        </w:rPr>
        <w:t>同学自行申报，</w:t>
      </w:r>
      <w:r>
        <w:rPr>
          <w:rFonts w:hint="eastAsia" w:ascii="仿宋" w:hAnsi="仿宋" w:eastAsia="仿宋"/>
          <w:sz w:val="28"/>
          <w:szCs w:val="28"/>
        </w:rPr>
        <w:t>学院科研秘书</w:t>
      </w:r>
      <w:r>
        <w:rPr>
          <w:rFonts w:ascii="仿宋" w:hAnsi="仿宋" w:eastAsia="仿宋"/>
          <w:sz w:val="28"/>
          <w:szCs w:val="28"/>
        </w:rPr>
        <w:t>提供支撑材料</w:t>
      </w:r>
      <w:r>
        <w:rPr>
          <w:rFonts w:hint="eastAsia" w:ascii="仿宋" w:hAnsi="仿宋" w:eastAsia="仿宋"/>
          <w:sz w:val="28"/>
          <w:szCs w:val="28"/>
        </w:rPr>
        <w:t>，学院评定小组审核。</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Q3</w:t>
      </w:r>
      <w:r>
        <w:rPr>
          <w:rFonts w:hint="eastAsia" w:ascii="仿宋" w:hAnsi="仿宋" w:eastAsia="仿宋"/>
          <w:sz w:val="28"/>
          <w:szCs w:val="28"/>
        </w:rPr>
        <w:t>——上一学年参加社会工作及综合表现情况，由学院负责研究生学生工作的教师根据研究生平时参加学术活动、文体活动、社会工作和日常管理情况打分。</w:t>
      </w:r>
    </w:p>
    <w:p>
      <w:pPr>
        <w:spacing w:line="300" w:lineRule="auto"/>
        <w:ind w:firstLine="562" w:firstLineChars="200"/>
        <w:rPr>
          <w:rFonts w:ascii="仿宋" w:hAnsi="仿宋" w:eastAsia="仿宋"/>
          <w:b/>
          <w:bCs/>
          <w:sz w:val="28"/>
          <w:szCs w:val="28"/>
        </w:rPr>
      </w:pPr>
      <w:r>
        <w:rPr>
          <w:rFonts w:hint="eastAsia" w:ascii="仿宋" w:hAnsi="仿宋" w:eastAsia="仿宋" w:cs="仿宋"/>
          <w:b/>
          <w:bCs/>
          <w:sz w:val="28"/>
          <w:szCs w:val="28"/>
        </w:rPr>
        <w:t>（二）学术创新奖</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学术创新奖按学术论著类、科研成果类、专利发明类和科技竞赛类分别确定标准，符合下列条件之一者，可申请参评：</w:t>
      </w:r>
    </w:p>
    <w:p>
      <w:pPr>
        <w:spacing w:line="360" w:lineRule="auto"/>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、学术论著类</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①</w:t>
      </w:r>
      <w:r>
        <w:rPr>
          <w:rFonts w:ascii="仿宋" w:hAnsi="仿宋" w:eastAsia="仿宋" w:cs="仿宋"/>
          <w:sz w:val="28"/>
          <w:szCs w:val="28"/>
        </w:rPr>
        <w:t xml:space="preserve"> </w:t>
      </w:r>
      <w:r>
        <w:rPr>
          <w:rFonts w:hint="eastAsia" w:ascii="仿宋" w:hAnsi="仿宋" w:eastAsia="仿宋" w:cs="仿宋"/>
          <w:sz w:val="28"/>
          <w:szCs w:val="28"/>
        </w:rPr>
        <w:t>以第一作者在正式出版的</w:t>
      </w:r>
      <w:r>
        <w:rPr>
          <w:rFonts w:ascii="仿宋" w:hAnsi="仿宋" w:eastAsia="仿宋" w:cs="仿宋"/>
          <w:sz w:val="28"/>
          <w:szCs w:val="28"/>
        </w:rPr>
        <w:t>SCI</w:t>
      </w:r>
      <w:r>
        <w:rPr>
          <w:rFonts w:hint="eastAsia" w:ascii="仿宋" w:hAnsi="仿宋" w:eastAsia="仿宋" w:cs="仿宋"/>
          <w:sz w:val="28"/>
          <w:szCs w:val="28"/>
        </w:rPr>
        <w:t>、</w:t>
      </w:r>
      <w:r>
        <w:rPr>
          <w:rFonts w:ascii="仿宋" w:hAnsi="仿宋" w:eastAsia="仿宋" w:cs="仿宋"/>
          <w:sz w:val="28"/>
          <w:szCs w:val="28"/>
        </w:rPr>
        <w:t>SSCI</w:t>
      </w:r>
      <w:r>
        <w:rPr>
          <w:rFonts w:hint="eastAsia" w:ascii="仿宋" w:hAnsi="仿宋" w:eastAsia="仿宋" w:cs="仿宋"/>
          <w:sz w:val="28"/>
          <w:szCs w:val="28"/>
        </w:rPr>
        <w:t>、</w:t>
      </w:r>
      <w:r>
        <w:rPr>
          <w:rFonts w:ascii="仿宋" w:hAnsi="仿宋" w:eastAsia="仿宋" w:cs="仿宋"/>
          <w:sz w:val="28"/>
          <w:szCs w:val="28"/>
        </w:rPr>
        <w:t>A&amp;HCI</w:t>
      </w:r>
      <w:r>
        <w:rPr>
          <w:rFonts w:hint="eastAsia" w:ascii="仿宋" w:hAnsi="仿宋" w:eastAsia="仿宋" w:cs="仿宋"/>
          <w:sz w:val="28"/>
          <w:szCs w:val="28"/>
        </w:rPr>
        <w:t>检索源学术期刊上发表学术论文一篇（含）以上，并被全文收录者；</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② 第一作者在正式出版的</w:t>
      </w:r>
      <w:r>
        <w:rPr>
          <w:rFonts w:ascii="仿宋" w:hAnsi="仿宋" w:eastAsia="仿宋" w:cs="仿宋"/>
          <w:sz w:val="28"/>
          <w:szCs w:val="28"/>
        </w:rPr>
        <w:t>EI</w:t>
      </w:r>
      <w:r>
        <w:rPr>
          <w:rFonts w:hint="eastAsia" w:ascii="仿宋" w:hAnsi="仿宋" w:eastAsia="仿宋" w:cs="仿宋"/>
          <w:sz w:val="28"/>
          <w:szCs w:val="28"/>
        </w:rPr>
        <w:t>检索源学术期刊上发表学术论文二篇（含）以上，并被全文收录者；</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③</w:t>
      </w:r>
      <w:r>
        <w:rPr>
          <w:rFonts w:ascii="仿宋" w:hAnsi="仿宋" w:eastAsia="仿宋" w:cs="仿宋"/>
          <w:sz w:val="28"/>
          <w:szCs w:val="28"/>
        </w:rPr>
        <w:t xml:space="preserve"> </w:t>
      </w:r>
      <w:r>
        <w:rPr>
          <w:rFonts w:hint="eastAsia" w:ascii="仿宋" w:hAnsi="仿宋" w:eastAsia="仿宋" w:cs="仿宋"/>
          <w:sz w:val="28"/>
          <w:szCs w:val="28"/>
        </w:rPr>
        <w:t>人文社科类研究生第一作者在正式出版的</w:t>
      </w:r>
      <w:r>
        <w:rPr>
          <w:rFonts w:ascii="仿宋" w:hAnsi="仿宋" w:eastAsia="仿宋" w:cs="仿宋"/>
          <w:sz w:val="28"/>
          <w:szCs w:val="28"/>
        </w:rPr>
        <w:t>EI</w:t>
      </w:r>
      <w:r>
        <w:rPr>
          <w:rFonts w:hint="eastAsia" w:ascii="仿宋" w:hAnsi="仿宋" w:eastAsia="仿宋" w:cs="仿宋"/>
          <w:sz w:val="28"/>
          <w:szCs w:val="28"/>
        </w:rPr>
        <w:t>检索源学术期刊或</w:t>
      </w:r>
      <w:r>
        <w:rPr>
          <w:rFonts w:ascii="仿宋" w:hAnsi="仿宋" w:eastAsia="仿宋" w:cs="仿宋"/>
          <w:sz w:val="28"/>
          <w:szCs w:val="28"/>
        </w:rPr>
        <w:t>CSSCI</w:t>
      </w:r>
      <w:r>
        <w:rPr>
          <w:rFonts w:hint="eastAsia" w:ascii="仿宋" w:hAnsi="仿宋" w:eastAsia="仿宋" w:cs="仿宋"/>
          <w:sz w:val="28"/>
          <w:szCs w:val="28"/>
        </w:rPr>
        <w:t>来源期刊上发表学术论文二篇（含）以上者；</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④ 第一作者在正式出版的</w:t>
      </w:r>
      <w:r>
        <w:rPr>
          <w:rFonts w:ascii="仿宋" w:hAnsi="仿宋" w:eastAsia="仿宋" w:cs="仿宋"/>
          <w:sz w:val="28"/>
          <w:szCs w:val="28"/>
        </w:rPr>
        <w:t>EI</w:t>
      </w:r>
      <w:r>
        <w:rPr>
          <w:rFonts w:hint="eastAsia" w:ascii="仿宋" w:hAnsi="仿宋" w:eastAsia="仿宋" w:cs="仿宋"/>
          <w:sz w:val="28"/>
          <w:szCs w:val="28"/>
        </w:rPr>
        <w:t>检索源学术期刊、</w:t>
      </w:r>
      <w:r>
        <w:rPr>
          <w:rFonts w:ascii="仿宋" w:hAnsi="仿宋" w:eastAsia="仿宋" w:cs="仿宋"/>
          <w:sz w:val="28"/>
          <w:szCs w:val="28"/>
        </w:rPr>
        <w:t>CSSCI</w:t>
      </w:r>
      <w:r>
        <w:rPr>
          <w:rFonts w:hint="eastAsia" w:ascii="仿宋" w:hAnsi="仿宋" w:eastAsia="仿宋" w:cs="仿宋"/>
          <w:sz w:val="28"/>
          <w:szCs w:val="28"/>
        </w:rPr>
        <w:t>或</w:t>
      </w:r>
      <w:r>
        <w:rPr>
          <w:rFonts w:ascii="仿宋" w:hAnsi="仿宋" w:eastAsia="仿宋" w:cs="仿宋"/>
          <w:sz w:val="28"/>
          <w:szCs w:val="28"/>
        </w:rPr>
        <w:t>CSCD</w:t>
      </w:r>
      <w:r>
        <w:rPr>
          <w:rFonts w:hint="eastAsia" w:ascii="仿宋" w:hAnsi="仿宋" w:eastAsia="仿宋" w:cs="仿宋"/>
          <w:sz w:val="28"/>
          <w:szCs w:val="28"/>
        </w:rPr>
        <w:t>来源期刊、参编著作累计三项（含）以上者；</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⑤ 第一作者或第二作者（作者排名第一或第二）完成专著一部（含）以上者。</w:t>
      </w:r>
    </w:p>
    <w:p>
      <w:pPr>
        <w:spacing w:line="360" w:lineRule="auto"/>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、科研成果类</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① 获得省部级科研成果三等奖（含）以上的完成人；</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② 获得地、市、厅级科研成果一等奖（含）以上的排名前三位完成人；</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③ 获得地、市、厅级科研成果三等奖（含）以上的第一完成人。</w:t>
      </w:r>
    </w:p>
    <w:p>
      <w:pPr>
        <w:spacing w:line="360" w:lineRule="auto"/>
        <w:ind w:firstLine="560" w:firstLineChars="200"/>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、专利发明类</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①</w:t>
      </w:r>
      <w:r>
        <w:rPr>
          <w:rFonts w:ascii="仿宋" w:hAnsi="仿宋" w:eastAsia="仿宋" w:cs="仿宋"/>
          <w:sz w:val="28"/>
          <w:szCs w:val="28"/>
        </w:rPr>
        <w:t xml:space="preserve"> </w:t>
      </w:r>
      <w:r>
        <w:rPr>
          <w:rFonts w:hint="eastAsia" w:ascii="仿宋" w:hAnsi="仿宋" w:eastAsia="仿宋" w:cs="仿宋"/>
          <w:sz w:val="28"/>
          <w:szCs w:val="28"/>
        </w:rPr>
        <w:t>获得发明专利排名前三位者；</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②</w:t>
      </w:r>
      <w:r>
        <w:rPr>
          <w:rFonts w:ascii="仿宋" w:hAnsi="仿宋" w:eastAsia="仿宋" w:cs="仿宋"/>
          <w:sz w:val="28"/>
          <w:szCs w:val="28"/>
        </w:rPr>
        <w:t xml:space="preserve"> </w:t>
      </w:r>
      <w:r>
        <w:rPr>
          <w:rFonts w:hint="eastAsia" w:ascii="仿宋" w:hAnsi="仿宋" w:eastAsia="仿宋" w:cs="仿宋"/>
          <w:sz w:val="28"/>
          <w:szCs w:val="28"/>
        </w:rPr>
        <w:t>获得实用新型专利排名前两位者（仅限专业学位硕士研究生）；</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③</w:t>
      </w:r>
      <w:r>
        <w:rPr>
          <w:rFonts w:ascii="仿宋" w:hAnsi="仿宋" w:eastAsia="仿宋" w:cs="仿宋"/>
          <w:sz w:val="28"/>
          <w:szCs w:val="28"/>
        </w:rPr>
        <w:t xml:space="preserve"> </w:t>
      </w:r>
      <w:r>
        <w:rPr>
          <w:rFonts w:hint="eastAsia" w:ascii="仿宋" w:hAnsi="仿宋" w:eastAsia="仿宋" w:cs="仿宋"/>
          <w:sz w:val="28"/>
          <w:szCs w:val="28"/>
        </w:rPr>
        <w:t>获得外观设计专利排名第一位者（仅限专业学位硕士研究生）。</w:t>
      </w:r>
    </w:p>
    <w:p>
      <w:pPr>
        <w:spacing w:line="360" w:lineRule="auto"/>
        <w:ind w:firstLine="560" w:firstLineChars="200"/>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、科技竞赛类</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科技竞赛类设团队奖，凡有二人（含）以上获同一奖励者，只能参评团队奖。</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获学校认定的国际及国家级科技、设计竞赛三等奖（含）或省部级科技、设计竞赛二等奖（含）以上者。未明确注明一、二、三等奖项，均不在参评范围内。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bookmarkStart w:id="0" w:name="_GoBack"/>
      <w:bookmarkEnd w:id="0"/>
      <w:r>
        <w:rPr>
          <w:rFonts w:hint="eastAsia" w:ascii="仿宋" w:hAnsi="仿宋" w:eastAsia="仿宋" w:cs="仿宋"/>
          <w:sz w:val="28"/>
          <w:szCs w:val="28"/>
        </w:rPr>
        <w:t>其它说明</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① 发表文章中，如出现共同第一作者，只认定排名第一者；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② 新品种登陆等相关学术成果，须由学校科技处认定，方可确定。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③ 对未在以上列出的学术成果，需学院提供学术委员会或学位委员会认定的书面材料，并报学校讨论研究确定。</w:t>
      </w:r>
    </w:p>
    <w:p>
      <w:pPr>
        <w:spacing w:line="300" w:lineRule="auto"/>
        <w:ind w:firstLine="562" w:firstLineChars="200"/>
        <w:rPr>
          <w:rFonts w:ascii="仿宋" w:hAnsi="仿宋" w:eastAsia="仿宋"/>
          <w:b/>
          <w:bCs/>
          <w:sz w:val="28"/>
          <w:szCs w:val="28"/>
        </w:rPr>
      </w:pPr>
      <w:r>
        <w:rPr>
          <w:rFonts w:hint="eastAsia" w:ascii="仿宋" w:hAnsi="仿宋" w:eastAsia="仿宋" w:cs="仿宋"/>
          <w:b/>
          <w:bCs/>
          <w:sz w:val="28"/>
          <w:szCs w:val="28"/>
        </w:rPr>
        <w:t>（三）优秀研究生干部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校院两级研究生会、社团组织和党团班级的学生干部，在工作中积极热情，认真负责，并具有较高威信者，可申请参评优秀研究生干部。</w:t>
      </w:r>
    </w:p>
    <w:p>
      <w:pPr>
        <w:spacing w:line="300" w:lineRule="auto"/>
        <w:ind w:firstLine="562" w:firstLineChars="200"/>
        <w:rPr>
          <w:rFonts w:hint="default" w:ascii="仿宋" w:hAnsi="仿宋" w:eastAsia="仿宋"/>
          <w:b/>
          <w:bCs/>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专项奖学金</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符合下列条件之一者，可申请参评：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1.在学校组织的阳光长跑男生组或女生组中累积里程前10名；</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2.校研会组织的篮球赛、乒乓球赛或羽毛球赛获得冠军的团体或个人；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3.见义勇为、拾金不昧等受到校级（含）以上表彰者；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4.作为公司法人成功注册企业或者参加创新创业大赛获得国家级二等奖（含）以上，省部级一等奖（含）以上或地（市、厅、校）级第1名者。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其他说明：体育比赛和创新创业大赛设团队奖，凡有二人（含）以上获同一奖励者，只能参评团队奖。</w:t>
      </w:r>
    </w:p>
    <w:p>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）上一学年有下列情况之一者不能参加优秀奖学金各类奖项的评定：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1.违反国家法律、校纪校规受到纪律处分者；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2.有抄袭剽窃、弄虚作假等学术不端行为者；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3.有课程不及格者；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4.未按时办理注册手续等违反研究生学籍管理规定者；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5.参评时学籍状态处于休学状态者。</w:t>
      </w:r>
    </w:p>
    <w:p>
      <w:pPr>
        <w:pStyle w:val="11"/>
        <w:spacing w:before="312" w:beforeLines="100" w:after="312" w:afterLines="100"/>
        <w:jc w:val="center"/>
        <w:rPr>
          <w:rFonts w:ascii="仿宋" w:hAnsi="仿宋" w:eastAsia="仿宋"/>
          <w:b/>
          <w:bCs/>
          <w:sz w:val="30"/>
          <w:szCs w:val="30"/>
        </w:rPr>
      </w:pPr>
      <w:r>
        <w:rPr>
          <w:rFonts w:hint="eastAsia" w:ascii="仿宋" w:hAnsi="仿宋" w:eastAsia="仿宋" w:cs="仿宋"/>
          <w:b/>
          <w:bCs/>
          <w:sz w:val="30"/>
          <w:szCs w:val="30"/>
        </w:rPr>
        <w:t>第三章</w:t>
      </w:r>
      <w:r>
        <w:rPr>
          <w:rFonts w:ascii="仿宋" w:hAnsi="仿宋" w:eastAsia="仿宋" w:cs="仿宋"/>
          <w:b/>
          <w:bCs/>
          <w:sz w:val="30"/>
          <w:szCs w:val="30"/>
        </w:rPr>
        <w:t xml:space="preserve"> </w:t>
      </w:r>
      <w:r>
        <w:rPr>
          <w:rFonts w:hint="eastAsia" w:ascii="仿宋" w:hAnsi="仿宋" w:eastAsia="仿宋" w:cs="仿宋"/>
          <w:b/>
          <w:bCs/>
          <w:sz w:val="30"/>
          <w:szCs w:val="30"/>
        </w:rPr>
        <w:t>评审组织与程序</w:t>
      </w:r>
    </w:p>
    <w:p>
      <w:pPr>
        <w:spacing w:line="300" w:lineRule="auto"/>
        <w:ind w:firstLine="562" w:firstLineChars="200"/>
        <w:rPr>
          <w:rFonts w:ascii="仿宋" w:hAnsi="仿宋" w:eastAsia="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第八条</w:t>
      </w:r>
      <w:r>
        <w:rPr>
          <w:rFonts w:ascii="仿宋" w:hAnsi="仿宋" w:eastAsia="仿宋" w:cs="仿宋"/>
          <w:b/>
          <w:bCs/>
          <w:color w:val="000000"/>
          <w:sz w:val="28"/>
          <w:szCs w:val="28"/>
          <w:shd w:val="clear" w:color="auto" w:fill="FFFFFF"/>
        </w:rPr>
        <w:t xml:space="preserve">  </w:t>
      </w:r>
      <w:r>
        <w:rPr>
          <w:rFonts w:hint="eastAsia" w:ascii="仿宋" w:hAnsi="仿宋" w:eastAsia="仿宋" w:cs="仿宋"/>
          <w:sz w:val="28"/>
          <w:szCs w:val="28"/>
        </w:rPr>
        <w:t>优秀奖学金评定工作由学校奖学金领导小组统筹安排，学院奖学金评审委员会具体实施。学院根据实际情况，成立以班级或学科为单位的研究生奖学金评定工作小组，成员由导师、研究生班主任和研究生代表组成，具体落实奖学金评定相关工作。</w:t>
      </w:r>
    </w:p>
    <w:p>
      <w:pPr>
        <w:spacing w:line="300" w:lineRule="auto"/>
        <w:ind w:firstLine="562" w:firstLineChars="200"/>
        <w:rPr>
          <w:rFonts w:ascii="仿宋" w:hAnsi="仿宋" w:eastAsia="仿宋"/>
          <w:sz w:val="28"/>
          <w:szCs w:val="28"/>
        </w:rPr>
      </w:pPr>
      <w:r>
        <w:rPr>
          <w:rFonts w:hint="eastAsia" w:ascii="仿宋" w:hAnsi="仿宋" w:eastAsia="仿宋" w:cs="仿宋"/>
          <w:b/>
          <w:bCs/>
          <w:color w:val="000000"/>
          <w:sz w:val="28"/>
          <w:szCs w:val="28"/>
          <w:shd w:val="clear" w:color="auto" w:fill="FFFFFF"/>
        </w:rPr>
        <w:t>第九条</w:t>
      </w:r>
      <w:r>
        <w:rPr>
          <w:rFonts w:ascii="仿宋" w:hAnsi="仿宋" w:eastAsia="仿宋" w:cs="仿宋"/>
          <w:b/>
          <w:bCs/>
          <w:color w:val="FF0000"/>
          <w:sz w:val="28"/>
          <w:szCs w:val="28"/>
          <w:shd w:val="clear" w:color="auto" w:fill="FFFFFF"/>
        </w:rPr>
        <w:t xml:space="preserve">  </w:t>
      </w:r>
      <w:r>
        <w:rPr>
          <w:rFonts w:hint="eastAsia" w:ascii="仿宋" w:hAnsi="仿宋" w:eastAsia="仿宋" w:cs="仿宋"/>
          <w:sz w:val="28"/>
          <w:szCs w:val="28"/>
        </w:rPr>
        <w:t>符合评定条件的研究生个人申请，经班级（校院两级研究生会）或学科评定小组民主评议后，按规定比例上报学院评定委员会，经学院评定委员会审核通过后，确定获奖名单，并在本学院进行</w:t>
      </w:r>
      <w:r>
        <w:rPr>
          <w:rFonts w:ascii="仿宋" w:hAnsi="仿宋" w:eastAsia="仿宋" w:cs="仿宋"/>
          <w:sz w:val="28"/>
          <w:szCs w:val="28"/>
        </w:rPr>
        <w:t>5</w:t>
      </w:r>
      <w:r>
        <w:rPr>
          <w:rFonts w:hint="eastAsia" w:ascii="仿宋" w:hAnsi="仿宋" w:eastAsia="仿宋" w:cs="仿宋"/>
          <w:sz w:val="28"/>
          <w:szCs w:val="28"/>
        </w:rPr>
        <w:t>个工作日的公示。</w:t>
      </w:r>
    </w:p>
    <w:p>
      <w:pPr>
        <w:widowControl/>
        <w:wordWrap w:val="0"/>
        <w:spacing w:line="432" w:lineRule="atLeast"/>
        <w:ind w:firstLine="551" w:firstLineChars="196"/>
        <w:jc w:val="left"/>
        <w:rPr>
          <w:rFonts w:ascii="仿宋" w:hAnsi="仿宋" w:eastAsia="仿宋"/>
          <w:sz w:val="28"/>
          <w:szCs w:val="28"/>
        </w:rPr>
      </w:pPr>
      <w:r>
        <w:rPr>
          <w:rFonts w:hint="eastAsia" w:ascii="仿宋" w:hAnsi="仿宋" w:eastAsia="仿宋" w:cs="仿宋"/>
          <w:b/>
          <w:bCs/>
          <w:color w:val="000000"/>
          <w:sz w:val="28"/>
          <w:szCs w:val="28"/>
          <w:shd w:val="clear" w:color="auto" w:fill="FFFFFF"/>
        </w:rPr>
        <w:t>第十条</w:t>
      </w:r>
      <w:r>
        <w:rPr>
          <w:rFonts w:ascii="仿宋" w:hAnsi="仿宋" w:eastAsia="仿宋" w:cs="仿宋"/>
          <w:b/>
          <w:bCs/>
          <w:color w:val="000000"/>
          <w:sz w:val="28"/>
          <w:szCs w:val="28"/>
          <w:shd w:val="clear" w:color="auto" w:fill="FFFFFF"/>
        </w:rPr>
        <w:t xml:space="preserve">  </w:t>
      </w:r>
      <w:r>
        <w:rPr>
          <w:rFonts w:hint="eastAsia" w:ascii="仿宋" w:hAnsi="仿宋" w:eastAsia="仿宋" w:cs="仿宋"/>
          <w:sz w:val="28"/>
          <w:szCs w:val="28"/>
        </w:rPr>
        <w:t>学院公示无异议后，组织获奖研究生填写《北京林业大学研究生奖学金评定表》，同时学院填写《研究生奖学金获奖汇总表》，并提交到学校研究生奖学金评审领导小组进行审核，审定结果在全校范围内进行</w:t>
      </w:r>
      <w:r>
        <w:rPr>
          <w:rFonts w:ascii="仿宋" w:hAnsi="仿宋" w:eastAsia="仿宋" w:cs="仿宋"/>
          <w:sz w:val="28"/>
          <w:szCs w:val="28"/>
        </w:rPr>
        <w:t>5</w:t>
      </w:r>
      <w:r>
        <w:rPr>
          <w:rFonts w:hint="eastAsia" w:ascii="仿宋" w:hAnsi="仿宋" w:eastAsia="仿宋" w:cs="仿宋"/>
          <w:sz w:val="28"/>
          <w:szCs w:val="28"/>
        </w:rPr>
        <w:t>个工作日的公示。</w:t>
      </w:r>
    </w:p>
    <w:p>
      <w:pPr>
        <w:widowControl/>
        <w:wordWrap w:val="0"/>
        <w:spacing w:line="432" w:lineRule="atLeast"/>
        <w:ind w:firstLine="562" w:firstLineChars="200"/>
        <w:jc w:val="left"/>
        <w:rPr>
          <w:rFonts w:ascii="仿宋" w:hAnsi="仿宋" w:eastAsia="仿宋"/>
          <w:sz w:val="28"/>
          <w:szCs w:val="28"/>
        </w:rPr>
      </w:pPr>
      <w:r>
        <w:rPr>
          <w:rFonts w:hint="eastAsia" w:ascii="仿宋" w:hAnsi="仿宋" w:eastAsia="仿宋" w:cs="仿宋"/>
          <w:b/>
          <w:bCs/>
          <w:color w:val="000000"/>
          <w:sz w:val="28"/>
          <w:szCs w:val="28"/>
          <w:shd w:val="clear" w:color="auto" w:fill="FFFFFF"/>
        </w:rPr>
        <w:t>第十一条</w:t>
      </w:r>
      <w:r>
        <w:rPr>
          <w:rFonts w:ascii="仿宋" w:hAnsi="仿宋" w:eastAsia="仿宋" w:cs="仿宋"/>
          <w:sz w:val="28"/>
          <w:szCs w:val="28"/>
        </w:rPr>
        <w:t xml:space="preserve">  </w:t>
      </w:r>
      <w:r>
        <w:rPr>
          <w:rFonts w:hint="eastAsia" w:ascii="仿宋" w:hAnsi="仿宋" w:eastAsia="仿宋" w:cs="仿宋"/>
          <w:sz w:val="28"/>
          <w:szCs w:val="28"/>
        </w:rPr>
        <w:t>对优秀奖学金评审结果有异议的研究生，可在学院公示阶段向所在学院评审委员会提出申诉，评审委员会应及时研究并予以答复。如研究生对学院评审委员会作出的答复仍存在异议，可在学校公示阶段向学校研究生奖学金评审领导小组提请裁决。</w:t>
      </w:r>
    </w:p>
    <w:p>
      <w:pPr>
        <w:pStyle w:val="11"/>
        <w:spacing w:before="312" w:beforeLines="100" w:after="312" w:afterLines="100"/>
        <w:jc w:val="center"/>
        <w:rPr>
          <w:rFonts w:ascii="仿宋" w:hAnsi="仿宋" w:eastAsia="仿宋"/>
          <w:b/>
          <w:bCs/>
          <w:sz w:val="30"/>
          <w:szCs w:val="30"/>
        </w:rPr>
      </w:pPr>
      <w:r>
        <w:rPr>
          <w:rFonts w:hint="eastAsia" w:ascii="仿宋" w:hAnsi="仿宋" w:eastAsia="仿宋" w:cs="仿宋"/>
          <w:b/>
          <w:bCs/>
          <w:sz w:val="30"/>
          <w:szCs w:val="30"/>
        </w:rPr>
        <w:t>第四章</w:t>
      </w:r>
      <w:r>
        <w:rPr>
          <w:rFonts w:ascii="仿宋" w:hAnsi="仿宋" w:eastAsia="仿宋" w:cs="仿宋"/>
          <w:b/>
          <w:bCs/>
          <w:sz w:val="30"/>
          <w:szCs w:val="30"/>
        </w:rPr>
        <w:t xml:space="preserve"> </w:t>
      </w:r>
      <w:r>
        <w:rPr>
          <w:rFonts w:hint="eastAsia" w:ascii="仿宋" w:hAnsi="仿宋" w:eastAsia="仿宋" w:cs="仿宋"/>
          <w:b/>
          <w:bCs/>
          <w:sz w:val="30"/>
          <w:szCs w:val="30"/>
        </w:rPr>
        <w:t>评审原则</w:t>
      </w:r>
    </w:p>
    <w:p>
      <w:pPr>
        <w:spacing w:line="300" w:lineRule="auto"/>
        <w:ind w:firstLine="562" w:firstLineChars="200"/>
        <w:rPr>
          <w:rFonts w:ascii="仿宋" w:hAnsi="仿宋" w:eastAsia="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第十二条</w:t>
      </w:r>
      <w:r>
        <w:rPr>
          <w:rFonts w:ascii="仿宋" w:hAnsi="仿宋" w:eastAsia="仿宋" w:cs="仿宋"/>
          <w:sz w:val="28"/>
          <w:szCs w:val="28"/>
        </w:rPr>
        <w:t xml:space="preserve">  </w:t>
      </w:r>
      <w:r>
        <w:rPr>
          <w:rFonts w:hint="eastAsia" w:ascii="仿宋" w:hAnsi="仿宋" w:eastAsia="仿宋" w:cs="仿宋"/>
          <w:sz w:val="28"/>
          <w:szCs w:val="28"/>
        </w:rPr>
        <w:t>优秀奖学金的评审工作必须坚持“公开、公平、公正”原则。</w:t>
      </w:r>
    </w:p>
    <w:p>
      <w:pPr>
        <w:pStyle w:val="11"/>
        <w:spacing w:before="312" w:beforeLines="100" w:after="312" w:afterLines="100"/>
        <w:jc w:val="center"/>
        <w:rPr>
          <w:rFonts w:ascii="仿宋" w:hAnsi="仿宋" w:eastAsia="仿宋"/>
          <w:b/>
          <w:bCs/>
          <w:sz w:val="30"/>
          <w:szCs w:val="30"/>
        </w:rPr>
      </w:pPr>
      <w:r>
        <w:rPr>
          <w:rFonts w:hint="eastAsia" w:ascii="仿宋" w:hAnsi="仿宋" w:eastAsia="仿宋" w:cs="仿宋"/>
          <w:b/>
          <w:bCs/>
          <w:sz w:val="30"/>
          <w:szCs w:val="30"/>
        </w:rPr>
        <w:t>第五章</w:t>
      </w:r>
      <w:r>
        <w:rPr>
          <w:rFonts w:ascii="仿宋" w:hAnsi="仿宋" w:eastAsia="仿宋" w:cs="仿宋"/>
          <w:b/>
          <w:bCs/>
          <w:sz w:val="30"/>
          <w:szCs w:val="30"/>
        </w:rPr>
        <w:t xml:space="preserve"> </w:t>
      </w:r>
      <w:r>
        <w:rPr>
          <w:rFonts w:hint="eastAsia" w:ascii="仿宋" w:hAnsi="仿宋" w:eastAsia="仿宋" w:cs="仿宋"/>
          <w:b/>
          <w:bCs/>
          <w:sz w:val="30"/>
          <w:szCs w:val="30"/>
        </w:rPr>
        <w:t>附则</w:t>
      </w:r>
    </w:p>
    <w:p>
      <w:pPr>
        <w:spacing w:line="300" w:lineRule="auto"/>
        <w:ind w:firstLine="562" w:firstLineChars="200"/>
        <w:rPr>
          <w:rFonts w:ascii="仿宋" w:hAnsi="仿宋" w:eastAsia="仿宋"/>
          <w:sz w:val="28"/>
          <w:szCs w:val="28"/>
        </w:rPr>
      </w:pPr>
      <w:r>
        <w:rPr>
          <w:rFonts w:hint="eastAsia" w:ascii="仿宋" w:hAnsi="仿宋" w:eastAsia="仿宋" w:cs="仿宋"/>
          <w:b/>
          <w:bCs/>
          <w:sz w:val="28"/>
          <w:szCs w:val="28"/>
          <w:shd w:val="clear" w:color="auto" w:fill="FFFFFF"/>
        </w:rPr>
        <w:t>第十三条</w:t>
      </w:r>
      <w:r>
        <w:rPr>
          <w:rFonts w:ascii="仿宋" w:hAnsi="仿宋" w:eastAsia="仿宋" w:cs="仿宋"/>
          <w:b/>
          <w:bCs/>
          <w:sz w:val="28"/>
          <w:szCs w:val="28"/>
          <w:shd w:val="clear" w:color="auto" w:fill="FFFFFF"/>
        </w:rPr>
        <w:t xml:space="preserve">  </w:t>
      </w:r>
      <w:r>
        <w:rPr>
          <w:rFonts w:hint="eastAsia" w:ascii="仿宋" w:hAnsi="仿宋" w:eastAsia="仿宋" w:cs="仿宋"/>
          <w:sz w:val="28"/>
          <w:szCs w:val="28"/>
        </w:rPr>
        <w:t>评定时学籍状态处于休学、保留学籍者不能参评。</w:t>
      </w:r>
    </w:p>
    <w:p>
      <w:pPr>
        <w:spacing w:line="300" w:lineRule="auto"/>
        <w:ind w:firstLine="562" w:firstLineChars="200"/>
        <w:rPr>
          <w:rFonts w:ascii="仿宋" w:hAnsi="仿宋" w:eastAsia="仿宋"/>
          <w:b/>
          <w:bCs/>
          <w:sz w:val="28"/>
          <w:szCs w:val="28"/>
          <w:shd w:val="clear" w:color="auto" w:fill="FFFFFF"/>
        </w:rPr>
      </w:pPr>
      <w:r>
        <w:rPr>
          <w:rFonts w:hint="eastAsia" w:ascii="仿宋" w:hAnsi="仿宋" w:eastAsia="仿宋" w:cs="仿宋"/>
          <w:b/>
          <w:bCs/>
          <w:sz w:val="28"/>
          <w:szCs w:val="28"/>
          <w:shd w:val="clear" w:color="auto" w:fill="FFFFFF"/>
        </w:rPr>
        <w:t xml:space="preserve">第十四条 </w:t>
      </w:r>
      <w:r>
        <w:rPr>
          <w:rFonts w:ascii="仿宋" w:hAnsi="仿宋" w:eastAsia="仿宋" w:cs="仿宋"/>
          <w:b/>
          <w:bCs/>
          <w:sz w:val="28"/>
          <w:szCs w:val="28"/>
          <w:shd w:val="clear" w:color="auto" w:fill="FFFFFF"/>
        </w:rPr>
        <w:t xml:space="preserve"> </w:t>
      </w:r>
      <w:r>
        <w:rPr>
          <w:rFonts w:hint="eastAsia" w:ascii="仿宋" w:hAnsi="仿宋" w:eastAsia="仿宋" w:cs="仿宋"/>
          <w:sz w:val="28"/>
          <w:szCs w:val="28"/>
        </w:rPr>
        <w:t>延期毕业一年的全日制非在职博士研究生可申请参评学术创新奖。</w:t>
      </w:r>
    </w:p>
    <w:p>
      <w:pPr>
        <w:spacing w:line="300" w:lineRule="auto"/>
        <w:ind w:firstLine="562" w:firstLineChars="200"/>
        <w:rPr>
          <w:rFonts w:ascii="仿宋" w:hAnsi="仿宋" w:eastAsia="仿宋"/>
          <w:sz w:val="28"/>
          <w:szCs w:val="28"/>
        </w:rPr>
      </w:pPr>
      <w:r>
        <w:rPr>
          <w:rFonts w:hint="eastAsia" w:ascii="仿宋" w:hAnsi="仿宋" w:eastAsia="仿宋" w:cs="仿宋"/>
          <w:b/>
          <w:bCs/>
          <w:sz w:val="28"/>
          <w:szCs w:val="28"/>
          <w:shd w:val="clear" w:color="auto" w:fill="FFFFFF"/>
        </w:rPr>
        <w:t>第十</w:t>
      </w:r>
      <w:r>
        <w:rPr>
          <w:rFonts w:hint="eastAsia" w:ascii="仿宋" w:hAnsi="仿宋" w:eastAsia="仿宋" w:cs="仿宋"/>
          <w:b/>
          <w:bCs/>
          <w:color w:val="000000"/>
          <w:sz w:val="28"/>
          <w:szCs w:val="28"/>
          <w:shd w:val="clear" w:color="auto" w:fill="FFFFFF"/>
        </w:rPr>
        <w:t>五</w:t>
      </w:r>
      <w:r>
        <w:rPr>
          <w:rFonts w:hint="eastAsia" w:ascii="仿宋" w:hAnsi="仿宋" w:eastAsia="仿宋" w:cs="仿宋"/>
          <w:b/>
          <w:bCs/>
          <w:sz w:val="28"/>
          <w:szCs w:val="28"/>
          <w:shd w:val="clear" w:color="auto" w:fill="FFFFFF"/>
        </w:rPr>
        <w:t xml:space="preserve">条 </w:t>
      </w:r>
      <w:r>
        <w:rPr>
          <w:rFonts w:ascii="仿宋" w:hAnsi="仿宋" w:eastAsia="仿宋" w:cs="仿宋"/>
          <w:sz w:val="28"/>
          <w:szCs w:val="28"/>
        </w:rPr>
        <w:t xml:space="preserve"> </w:t>
      </w:r>
      <w:r>
        <w:rPr>
          <w:rFonts w:hint="eastAsia" w:ascii="仿宋" w:hAnsi="仿宋" w:eastAsia="仿宋" w:cs="仿宋"/>
          <w:sz w:val="28"/>
          <w:szCs w:val="28"/>
        </w:rPr>
        <w:t>学校于每年</w:t>
      </w:r>
      <w:r>
        <w:rPr>
          <w:rFonts w:ascii="仿宋" w:hAnsi="仿宋" w:eastAsia="仿宋" w:cs="仿宋"/>
          <w:sz w:val="28"/>
          <w:szCs w:val="28"/>
        </w:rPr>
        <w:t>12</w:t>
      </w:r>
      <w:r>
        <w:rPr>
          <w:rFonts w:hint="eastAsia" w:ascii="仿宋" w:hAnsi="仿宋" w:eastAsia="仿宋" w:cs="仿宋"/>
          <w:sz w:val="28"/>
          <w:szCs w:val="28"/>
        </w:rPr>
        <w:t>月</w:t>
      </w:r>
      <w:r>
        <w:rPr>
          <w:rFonts w:ascii="仿宋" w:hAnsi="仿宋" w:eastAsia="仿宋" w:cs="仿宋"/>
          <w:sz w:val="28"/>
          <w:szCs w:val="28"/>
        </w:rPr>
        <w:t>30</w:t>
      </w:r>
      <w:r>
        <w:rPr>
          <w:rFonts w:hint="eastAsia" w:ascii="仿宋" w:hAnsi="仿宋" w:eastAsia="仿宋" w:cs="仿宋"/>
          <w:sz w:val="28"/>
          <w:szCs w:val="28"/>
        </w:rPr>
        <w:t>日前将当年优秀奖学金一次性发放给获奖研究生，同时学院将《北京林业大学研究生奖学金评定表》装入研究生学籍档案。</w:t>
      </w:r>
    </w:p>
    <w:p>
      <w:pPr>
        <w:spacing w:line="300" w:lineRule="auto"/>
        <w:ind w:firstLine="562" w:firstLineChars="200"/>
        <w:rPr>
          <w:rFonts w:ascii="仿宋" w:hAnsi="仿宋" w:eastAsia="仿宋" w:cs="仿宋"/>
          <w:sz w:val="28"/>
          <w:szCs w:val="28"/>
        </w:rPr>
      </w:pPr>
      <w:r>
        <w:rPr>
          <w:rFonts w:hint="eastAsia" w:ascii="仿宋" w:hAnsi="仿宋" w:eastAsia="仿宋" w:cs="仿宋"/>
          <w:b/>
          <w:bCs/>
          <w:color w:val="000000"/>
          <w:sz w:val="28"/>
          <w:szCs w:val="28"/>
          <w:shd w:val="clear" w:color="auto" w:fill="FFFFFF"/>
        </w:rPr>
        <w:t>第十六条</w:t>
      </w:r>
      <w:r>
        <w:rPr>
          <w:rFonts w:ascii="仿宋" w:hAnsi="仿宋" w:eastAsia="仿宋" w:cs="仿宋"/>
          <w:b/>
          <w:bCs/>
          <w:color w:val="000000"/>
          <w:sz w:val="28"/>
          <w:szCs w:val="28"/>
          <w:shd w:val="clear" w:color="auto" w:fill="FFFFFF"/>
        </w:rPr>
        <w:t xml:space="preserve">  </w:t>
      </w:r>
      <w:r>
        <w:rPr>
          <w:rFonts w:hint="eastAsia" w:ascii="仿宋" w:hAnsi="仿宋" w:eastAsia="仿宋" w:cs="仿宋"/>
          <w:sz w:val="28"/>
          <w:szCs w:val="28"/>
        </w:rPr>
        <w:t>评审过程中，如发现弄虚作假行为，一经查实，取消研究生在校期间所有奖励的评选资格，情节严重的，依据相关规定处理。</w:t>
      </w:r>
    </w:p>
    <w:p>
      <w:pPr>
        <w:spacing w:line="300" w:lineRule="auto"/>
        <w:ind w:firstLine="560" w:firstLineChars="200"/>
        <w:rPr>
          <w:rFonts w:ascii="仿宋" w:hAnsi="仿宋" w:eastAsia="仿宋" w:cs="仿宋"/>
          <w:sz w:val="28"/>
          <w:szCs w:val="28"/>
        </w:rPr>
      </w:pPr>
    </w:p>
    <w:p>
      <w:pPr>
        <w:spacing w:line="300" w:lineRule="auto"/>
        <w:ind w:firstLine="560" w:firstLineChars="200"/>
        <w:rPr>
          <w:rFonts w:ascii="仿宋" w:hAnsi="仿宋" w:eastAsia="仿宋" w:cs="仿宋"/>
          <w:sz w:val="28"/>
          <w:szCs w:val="28"/>
        </w:rPr>
      </w:pPr>
    </w:p>
    <w:p>
      <w:pPr>
        <w:spacing w:line="360" w:lineRule="auto"/>
        <w:ind w:firstLine="560" w:firstLineChars="200"/>
        <w:jc w:val="right"/>
        <w:rPr>
          <w:rFonts w:ascii="仿宋_GB2312" w:hAnsi="仿宋" w:eastAsia="仿宋_GB2312"/>
          <w:sz w:val="28"/>
          <w:szCs w:val="28"/>
        </w:rPr>
      </w:pPr>
      <w:r>
        <w:rPr>
          <w:rFonts w:hint="eastAsia" w:ascii="仿宋_GB2312" w:hAnsi="仿宋" w:eastAsia="仿宋_GB2312"/>
          <w:sz w:val="28"/>
          <w:szCs w:val="28"/>
        </w:rPr>
        <w:t>北京林业大学工学院研究生评优委员会</w:t>
      </w:r>
    </w:p>
    <w:p>
      <w:pPr>
        <w:spacing w:line="360" w:lineRule="auto"/>
        <w:ind w:firstLine="560" w:firstLineChars="200"/>
        <w:jc w:val="right"/>
        <w:rPr>
          <w:rFonts w:ascii="仿宋_GB2312" w:hAnsi="仿宋" w:eastAsia="仿宋_GB2312"/>
          <w:sz w:val="28"/>
          <w:szCs w:val="28"/>
        </w:rPr>
      </w:pPr>
      <w:r>
        <w:rPr>
          <w:rFonts w:hint="eastAsia" w:ascii="仿宋_GB2312" w:hAnsi="仿宋" w:eastAsia="仿宋_GB2312"/>
          <w:sz w:val="28"/>
          <w:szCs w:val="28"/>
        </w:rPr>
        <w:t>20</w:t>
      </w:r>
      <w:r>
        <w:rPr>
          <w:rFonts w:hint="eastAsia" w:ascii="仿宋_GB2312" w:hAnsi="仿宋" w:eastAsia="仿宋_GB2312"/>
          <w:sz w:val="28"/>
          <w:szCs w:val="28"/>
          <w:lang w:val="en-US" w:eastAsia="zh-CN"/>
        </w:rPr>
        <w:t>21</w:t>
      </w:r>
      <w:r>
        <w:rPr>
          <w:rFonts w:hint="eastAsia" w:ascii="仿宋_GB2312" w:hAnsi="仿宋" w:eastAsia="仿宋_GB2312"/>
          <w:sz w:val="28"/>
          <w:szCs w:val="28"/>
        </w:rPr>
        <w:t>年</w:t>
      </w:r>
      <w:r>
        <w:rPr>
          <w:rFonts w:hint="eastAsia" w:ascii="仿宋_GB2312" w:hAnsi="仿宋" w:eastAsia="仿宋_GB2312"/>
          <w:sz w:val="28"/>
          <w:szCs w:val="28"/>
          <w:lang w:val="en-US" w:eastAsia="zh-CN"/>
        </w:rPr>
        <w:t>09</w:t>
      </w:r>
      <w:r>
        <w:rPr>
          <w:rFonts w:hint="eastAsia" w:ascii="仿宋_GB2312" w:hAnsi="仿宋" w:eastAsia="仿宋_GB2312"/>
          <w:sz w:val="28"/>
          <w:szCs w:val="28"/>
        </w:rPr>
        <w:t>月</w:t>
      </w:r>
      <w:r>
        <w:rPr>
          <w:rFonts w:hint="eastAsia" w:ascii="仿宋_GB2312" w:hAnsi="仿宋" w:eastAsia="仿宋_GB2312"/>
          <w:sz w:val="28"/>
          <w:szCs w:val="28"/>
          <w:lang w:val="en-US" w:eastAsia="zh-CN"/>
        </w:rPr>
        <w:t>28</w:t>
      </w:r>
      <w:r>
        <w:rPr>
          <w:rFonts w:hint="eastAsia" w:ascii="仿宋_GB2312" w:hAnsi="仿宋" w:eastAsia="仿宋_GB2312"/>
          <w:sz w:val="28"/>
          <w:szCs w:val="28"/>
        </w:rPr>
        <w:t>日</w:t>
      </w:r>
    </w:p>
    <w:p>
      <w:pPr>
        <w:spacing w:line="300" w:lineRule="auto"/>
        <w:ind w:firstLine="560" w:firstLineChars="200"/>
        <w:rPr>
          <w:rFonts w:ascii="仿宋" w:hAnsi="仿宋" w:eastAsia="仿宋" w:cs="仿宋"/>
          <w:sz w:val="28"/>
          <w:szCs w:val="28"/>
        </w:rPr>
      </w:pPr>
    </w:p>
    <w:p>
      <w:pPr>
        <w:jc w:val="both"/>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34586"/>
    <w:multiLevelType w:val="multilevel"/>
    <w:tmpl w:val="52734586"/>
    <w:lvl w:ilvl="0" w:tentative="0">
      <w:start w:val="1"/>
      <w:numFmt w:val="japaneseCounting"/>
      <w:lvlText w:val="（%1）"/>
      <w:lvlJc w:val="left"/>
      <w:pPr>
        <w:ind w:left="1447" w:hanging="885"/>
      </w:pPr>
      <w:rPr>
        <w:rFonts w:hint="default" w:cs="仿宋"/>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58105777"/>
    <w:multiLevelType w:val="singleLevel"/>
    <w:tmpl w:val="5810577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0C"/>
    <w:rsid w:val="00045748"/>
    <w:rsid w:val="00046084"/>
    <w:rsid w:val="000B1CBE"/>
    <w:rsid w:val="00127A7E"/>
    <w:rsid w:val="00160F6E"/>
    <w:rsid w:val="00234B59"/>
    <w:rsid w:val="002C42AE"/>
    <w:rsid w:val="002D07F7"/>
    <w:rsid w:val="00344DA3"/>
    <w:rsid w:val="00415EA5"/>
    <w:rsid w:val="00502637"/>
    <w:rsid w:val="00573AFC"/>
    <w:rsid w:val="005A5D0C"/>
    <w:rsid w:val="005B6CCC"/>
    <w:rsid w:val="00604927"/>
    <w:rsid w:val="00606168"/>
    <w:rsid w:val="00614004"/>
    <w:rsid w:val="006200C5"/>
    <w:rsid w:val="00660BB3"/>
    <w:rsid w:val="00682D9B"/>
    <w:rsid w:val="00706253"/>
    <w:rsid w:val="007605F8"/>
    <w:rsid w:val="0077596C"/>
    <w:rsid w:val="007E1123"/>
    <w:rsid w:val="00903CC8"/>
    <w:rsid w:val="00937DB0"/>
    <w:rsid w:val="009E24F4"/>
    <w:rsid w:val="00A52538"/>
    <w:rsid w:val="00AB7317"/>
    <w:rsid w:val="00B77962"/>
    <w:rsid w:val="00B868F6"/>
    <w:rsid w:val="00C56FCE"/>
    <w:rsid w:val="00C66B69"/>
    <w:rsid w:val="00CE2530"/>
    <w:rsid w:val="00D43F5D"/>
    <w:rsid w:val="00DA70E9"/>
    <w:rsid w:val="00EF5104"/>
    <w:rsid w:val="00F414C6"/>
    <w:rsid w:val="00F45A69"/>
    <w:rsid w:val="00F72552"/>
    <w:rsid w:val="09576D3E"/>
    <w:rsid w:val="0B2F3984"/>
    <w:rsid w:val="0E6A534F"/>
    <w:rsid w:val="10421737"/>
    <w:rsid w:val="1451433C"/>
    <w:rsid w:val="1975558B"/>
    <w:rsid w:val="25630B7B"/>
    <w:rsid w:val="26734135"/>
    <w:rsid w:val="291A45CA"/>
    <w:rsid w:val="2BA46CB2"/>
    <w:rsid w:val="32172D47"/>
    <w:rsid w:val="39AF3345"/>
    <w:rsid w:val="3E920DB2"/>
    <w:rsid w:val="4149646D"/>
    <w:rsid w:val="4175612E"/>
    <w:rsid w:val="444B4C92"/>
    <w:rsid w:val="48A779E4"/>
    <w:rsid w:val="52E60560"/>
    <w:rsid w:val="55783EDF"/>
    <w:rsid w:val="55F74756"/>
    <w:rsid w:val="59514E6B"/>
    <w:rsid w:val="59977F97"/>
    <w:rsid w:val="65730C7A"/>
    <w:rsid w:val="65AE6B8D"/>
    <w:rsid w:val="6B006D27"/>
    <w:rsid w:val="6F815A29"/>
    <w:rsid w:val="704B2CDC"/>
    <w:rsid w:val="73A132C9"/>
    <w:rsid w:val="78CE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page number"/>
    <w:basedOn w:val="7"/>
    <w:unhideWhenUsed/>
    <w:qFormat/>
    <w:uiPriority w:val="99"/>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
    <w:name w:val="列出段落1"/>
    <w:basedOn w:val="1"/>
    <w:qFormat/>
    <w:uiPriority w:val="34"/>
    <w:pPr>
      <w:ind w:firstLine="420" w:firstLineChars="200"/>
    </w:p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6</Pages>
  <Words>388</Words>
  <Characters>2214</Characters>
  <Lines>18</Lines>
  <Paragraphs>5</Paragraphs>
  <TotalTime>20</TotalTime>
  <ScaleCrop>false</ScaleCrop>
  <LinksUpToDate>false</LinksUpToDate>
  <CharactersWithSpaces>2597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2015-10-12T02:41:00Z</dcterms:created>
  <dc:creator>hc812</dc:creator>
  <cp:lastModifiedBy>823</cp:lastModifiedBy>
  <cp:lastPrinted>2015-10-12T09:45:00Z</cp:lastPrinted>
  <dcterms:modified xsi:type="dcterms:W3CDTF">2021-09-28T11:08:42Z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9E3FD557EB224A2CA9CCC17C1CD26DFB</vt:lpwstr>
  </property>
</Properties>
</file>